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E7" w:rsidRDefault="006F33E7" w:rsidP="006F33E7">
      <w:pPr>
        <w:spacing w:before="100" w:beforeAutospacing="1"/>
        <w:jc w:val="center"/>
        <w:rPr>
          <w:rStyle w:val="Emphasis"/>
          <w:rFonts w:asciiTheme="minorHAnsi" w:hAnsiTheme="minorHAnsi" w:cs="Calibri"/>
          <w:b/>
          <w:bCs/>
          <w:sz w:val="28"/>
        </w:rPr>
      </w:pPr>
      <w:r>
        <w:rPr>
          <w:rFonts w:asciiTheme="minorHAnsi" w:hAnsiTheme="minorHAnsi" w:cs="Calibri"/>
          <w:b/>
          <w:bCs/>
          <w:i/>
          <w:iCs/>
          <w:noProof/>
          <w:sz w:val="28"/>
        </w:rPr>
        <w:drawing>
          <wp:anchor distT="0" distB="0" distL="114300" distR="114300" simplePos="0" relativeHeight="251658240" behindDoc="1" locked="0" layoutInCell="1" allowOverlap="1">
            <wp:simplePos x="0" y="0"/>
            <wp:positionH relativeFrom="margin">
              <wp:align>center</wp:align>
            </wp:positionH>
            <wp:positionV relativeFrom="paragraph">
              <wp:posOffset>-540151</wp:posOffset>
            </wp:positionV>
            <wp:extent cx="3009900" cy="1168400"/>
            <wp:effectExtent l="0" t="0" r="0" b="0"/>
            <wp:wrapNone/>
            <wp:docPr id="1" name="Picture 1" descr="3332407114_100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2407114_10075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3E7" w:rsidRDefault="006F33E7" w:rsidP="006F33E7">
      <w:pPr>
        <w:spacing w:before="100" w:beforeAutospacing="1"/>
        <w:jc w:val="center"/>
        <w:rPr>
          <w:rStyle w:val="Emphasis"/>
          <w:rFonts w:asciiTheme="minorHAnsi" w:hAnsiTheme="minorHAnsi" w:cs="Calibri"/>
          <w:b/>
          <w:bCs/>
          <w:sz w:val="28"/>
        </w:rPr>
      </w:pPr>
    </w:p>
    <w:p w:rsidR="006F33E7" w:rsidRDefault="006F33E7" w:rsidP="006F33E7">
      <w:pPr>
        <w:spacing w:before="100" w:beforeAutospacing="1"/>
        <w:jc w:val="center"/>
        <w:rPr>
          <w:rStyle w:val="Emphasis"/>
          <w:rFonts w:asciiTheme="minorHAnsi" w:hAnsiTheme="minorHAnsi" w:cs="Calibri"/>
          <w:b/>
          <w:bCs/>
          <w:sz w:val="28"/>
        </w:rPr>
      </w:pPr>
    </w:p>
    <w:p w:rsidR="006F33E7" w:rsidRPr="00FF7F72" w:rsidRDefault="00FF7F72" w:rsidP="006F33E7">
      <w:pPr>
        <w:spacing w:before="100" w:beforeAutospacing="1"/>
        <w:jc w:val="center"/>
        <w:rPr>
          <w:rStyle w:val="Emphasis"/>
          <w:rFonts w:ascii="Sylfaen" w:hAnsi="Sylfaen" w:cs="Calibri"/>
          <w:b/>
          <w:bCs/>
          <w:sz w:val="28"/>
          <w:szCs w:val="28"/>
        </w:rPr>
      </w:pPr>
      <w:r w:rsidRPr="00FF7F72">
        <w:rPr>
          <w:rFonts w:ascii="Sylfaen" w:eastAsia="Times New Roman" w:hAnsi="Sylfaen"/>
          <w:sz w:val="28"/>
          <w:szCs w:val="28"/>
        </w:rPr>
        <w:t>Manu O. Platt, Ph.D.</w:t>
      </w:r>
      <w:r w:rsidRPr="00FF7F72">
        <w:rPr>
          <w:rFonts w:ascii="Sylfaen" w:eastAsia="Times New Roman" w:hAnsi="Sylfaen"/>
          <w:sz w:val="28"/>
          <w:szCs w:val="28"/>
        </w:rPr>
        <w:br/>
        <w:t>Associate Professor</w:t>
      </w:r>
      <w:r w:rsidRPr="00FF7F72">
        <w:rPr>
          <w:rFonts w:ascii="Sylfaen" w:eastAsia="Times New Roman" w:hAnsi="Sylfaen"/>
          <w:sz w:val="28"/>
          <w:szCs w:val="28"/>
        </w:rPr>
        <w:br/>
        <w:t xml:space="preserve">Director of Graduate Admissions and Recruiting </w:t>
      </w:r>
      <w:r w:rsidRPr="00FF7F72">
        <w:rPr>
          <w:rFonts w:ascii="Sylfaen" w:eastAsia="Times New Roman" w:hAnsi="Sylfaen"/>
          <w:sz w:val="28"/>
          <w:szCs w:val="28"/>
        </w:rPr>
        <w:br/>
        <w:t xml:space="preserve">Coulter Dept. of Biomedical Engineering </w:t>
      </w:r>
      <w:r w:rsidRPr="00FF7F72">
        <w:rPr>
          <w:rFonts w:ascii="Sylfaen" w:eastAsia="Times New Roman" w:hAnsi="Sylfaen"/>
          <w:sz w:val="28"/>
          <w:szCs w:val="28"/>
        </w:rPr>
        <w:br/>
        <w:t xml:space="preserve">      at Georgia Tech and Emory University </w:t>
      </w:r>
      <w:r w:rsidRPr="00FF7F72">
        <w:rPr>
          <w:rFonts w:ascii="Sylfaen" w:eastAsia="Times New Roman" w:hAnsi="Sylfaen"/>
          <w:sz w:val="28"/>
          <w:szCs w:val="28"/>
        </w:rPr>
        <w:br/>
        <w:t xml:space="preserve">Diversity Director, STC on Emergent Behaviors of Integrated Cellular Systems (EBICS) </w:t>
      </w:r>
      <w:r w:rsidRPr="00FF7F72">
        <w:rPr>
          <w:rFonts w:ascii="Sylfaen" w:eastAsia="Times New Roman" w:hAnsi="Sylfaen"/>
          <w:sz w:val="28"/>
          <w:szCs w:val="28"/>
        </w:rPr>
        <w:br/>
        <w:t xml:space="preserve">GRA Distinguished Cancer Scholar </w:t>
      </w:r>
      <w:r w:rsidRPr="00FF7F72">
        <w:rPr>
          <w:rFonts w:ascii="Sylfaen" w:eastAsia="Times New Roman" w:hAnsi="Sylfaen"/>
          <w:sz w:val="28"/>
          <w:szCs w:val="28"/>
        </w:rPr>
        <w:br/>
      </w:r>
      <w:hyperlink r:id="rId5" w:history="1">
        <w:r w:rsidRPr="00FF7F72">
          <w:rPr>
            <w:rStyle w:val="Hyperlink"/>
            <w:rFonts w:ascii="Sylfaen" w:eastAsia="Times New Roman" w:hAnsi="Sylfaen"/>
            <w:sz w:val="28"/>
            <w:szCs w:val="28"/>
          </w:rPr>
          <w:t>Project ENGAGES</w:t>
        </w:r>
      </w:hyperlink>
      <w:r w:rsidRPr="00FF7F72">
        <w:rPr>
          <w:rFonts w:ascii="Sylfaen" w:eastAsia="Times New Roman" w:hAnsi="Sylfaen"/>
          <w:sz w:val="28"/>
          <w:szCs w:val="28"/>
        </w:rPr>
        <w:t xml:space="preserve"> Co-Founder and Co-Director </w:t>
      </w:r>
      <w:r w:rsidRPr="00FF7F72">
        <w:rPr>
          <w:rFonts w:ascii="Sylfaen" w:eastAsia="Times New Roman" w:hAnsi="Sylfaen"/>
          <w:sz w:val="28"/>
          <w:szCs w:val="28"/>
        </w:rPr>
        <w:br/>
      </w:r>
    </w:p>
    <w:p w:rsidR="00FF7F72" w:rsidRPr="00FF7F72" w:rsidRDefault="00FF7F72" w:rsidP="006F33E7">
      <w:pPr>
        <w:spacing w:before="100" w:beforeAutospacing="1"/>
        <w:jc w:val="center"/>
        <w:rPr>
          <w:rStyle w:val="Emphasis"/>
          <w:rFonts w:ascii="Sylfaen" w:hAnsi="Sylfaen" w:cs="Calibri"/>
          <w:bCs/>
          <w:i w:val="0"/>
          <w:sz w:val="28"/>
          <w:szCs w:val="28"/>
        </w:rPr>
      </w:pPr>
      <w:r w:rsidRPr="00FF7F72">
        <w:rPr>
          <w:rStyle w:val="Emphasis"/>
          <w:rFonts w:ascii="Sylfaen" w:hAnsi="Sylfaen" w:cs="Calibri"/>
          <w:bCs/>
          <w:i w:val="0"/>
          <w:sz w:val="28"/>
          <w:szCs w:val="28"/>
        </w:rPr>
        <w:t>May 3, 2018</w:t>
      </w:r>
    </w:p>
    <w:p w:rsidR="00FF7F72" w:rsidRPr="00FF7F72" w:rsidRDefault="00FF7F72" w:rsidP="006F33E7">
      <w:pPr>
        <w:spacing w:before="100" w:beforeAutospacing="1"/>
        <w:jc w:val="center"/>
        <w:rPr>
          <w:rStyle w:val="Emphasis"/>
          <w:rFonts w:ascii="Sylfaen" w:hAnsi="Sylfaen" w:cs="Calibri"/>
          <w:bCs/>
          <w:i w:val="0"/>
          <w:sz w:val="28"/>
          <w:szCs w:val="28"/>
        </w:rPr>
      </w:pPr>
      <w:r w:rsidRPr="00FF7F72">
        <w:rPr>
          <w:rStyle w:val="Emphasis"/>
          <w:rFonts w:ascii="Sylfaen" w:hAnsi="Sylfaen" w:cs="Calibri"/>
          <w:bCs/>
          <w:i w:val="0"/>
          <w:sz w:val="28"/>
          <w:szCs w:val="28"/>
        </w:rPr>
        <w:t>3:30 PM; 109 Rhodes Annex</w:t>
      </w:r>
    </w:p>
    <w:p w:rsidR="006F33E7" w:rsidRDefault="006F33E7" w:rsidP="006F33E7">
      <w:pPr>
        <w:spacing w:before="100" w:beforeAutospacing="1"/>
        <w:jc w:val="center"/>
      </w:pPr>
      <w:r>
        <w:rPr>
          <w:rStyle w:val="Emphasis"/>
          <w:rFonts w:asciiTheme="minorHAnsi" w:hAnsiTheme="minorHAnsi" w:cs="Calibri"/>
          <w:b/>
          <w:bCs/>
          <w:sz w:val="28"/>
        </w:rPr>
        <w:t>“What’s Eating You?</w:t>
      </w:r>
      <w:proofErr w:type="gramStart"/>
      <w:r>
        <w:rPr>
          <w:rStyle w:val="Emphasis"/>
          <w:rFonts w:asciiTheme="minorHAnsi" w:hAnsiTheme="minorHAnsi" w:cs="Calibri"/>
          <w:b/>
          <w:bCs/>
          <w:sz w:val="28"/>
        </w:rPr>
        <w:t>”:</w:t>
      </w:r>
      <w:proofErr w:type="gramEnd"/>
      <w:r>
        <w:rPr>
          <w:rStyle w:val="Emphasis"/>
          <w:rFonts w:asciiTheme="minorHAnsi" w:hAnsiTheme="minorHAnsi" w:cs="Calibri"/>
          <w:b/>
          <w:bCs/>
          <w:sz w:val="28"/>
        </w:rPr>
        <w:t xml:space="preserve"> Quantifying Proteolytic Activity in Health and Disease </w:t>
      </w:r>
      <w:r>
        <w:rPr>
          <w:rFonts w:ascii="Arial" w:hAnsi="Arial" w:cs="Arial"/>
          <w:b/>
          <w:bCs/>
          <w:i/>
          <w:iCs/>
          <w:sz w:val="28"/>
        </w:rPr>
        <w:t>to Predict Disease Potential</w:t>
      </w:r>
      <w:r>
        <w:rPr>
          <w:rStyle w:val="Emphasis"/>
          <w:rFonts w:asciiTheme="minorHAnsi" w:hAnsiTheme="minorHAnsi" w:cs="Calibri"/>
          <w:b/>
          <w:bCs/>
          <w:sz w:val="28"/>
        </w:rPr>
        <w:t xml:space="preserve"> </w:t>
      </w:r>
    </w:p>
    <w:p w:rsidR="006F33E7" w:rsidRDefault="006F33E7" w:rsidP="006F33E7">
      <w:pPr>
        <w:spacing w:before="100" w:beforeAutospacing="1"/>
        <w:jc w:val="center"/>
        <w:rPr>
          <w:rFonts w:ascii="Arial" w:hAnsi="Arial" w:cs="Arial"/>
        </w:rPr>
      </w:pPr>
      <w:r>
        <w:rPr>
          <w:rFonts w:ascii="Arial" w:hAnsi="Arial" w:cs="Arial"/>
        </w:rPr>
        <w:t> </w:t>
      </w:r>
    </w:p>
    <w:p w:rsidR="006F33E7" w:rsidRDefault="006F33E7" w:rsidP="006F33E7">
      <w:pPr>
        <w:widowControl w:val="0"/>
        <w:autoSpaceDE w:val="0"/>
        <w:autoSpaceDN w:val="0"/>
        <w:adjustRightInd w:val="0"/>
        <w:spacing w:before="100" w:beforeAutospacing="1" w:after="100" w:afterAutospacing="1"/>
        <w:jc w:val="both"/>
        <w:rPr>
          <w:rFonts w:ascii="Arial" w:hAnsi="Arial" w:cs="Arial"/>
        </w:rPr>
      </w:pPr>
      <w:r>
        <w:rPr>
          <w:rFonts w:ascii="Arial" w:hAnsi="Arial" w:cs="Arial"/>
        </w:rPr>
        <w:t xml:space="preserve">Patient-to-patient variability in disease progression continues to complicate clinical decisions in diagnosis and treatment. We focused on individual variability in production of cysteine </w:t>
      </w:r>
      <w:proofErr w:type="spellStart"/>
      <w:r>
        <w:rPr>
          <w:rFonts w:ascii="Arial" w:hAnsi="Arial" w:cs="Arial"/>
        </w:rPr>
        <w:t>cathepsins</w:t>
      </w:r>
      <w:proofErr w:type="spellEnd"/>
      <w:r>
        <w:rPr>
          <w:rFonts w:ascii="Arial" w:hAnsi="Arial" w:cs="Arial"/>
        </w:rPr>
        <w:t>, powerful proteases that are the most potent mammalian collagenases and elastases and are upregulated during tissue-destructive disease progression. We study them in the context of tissue remodeling during cancer and cardiovascular disease. During this seminar, Dr. Platt will discuss his studies of this family of powerful proteases with particular attention to cardiovascular remodeling found in children with sickle cell disease leading to strokes, HIV-mediated cardiovascular disease, and breast cancer prognosis and metastatic potential.  We will discuss our applications of these technologies and potential use as both diagnostic and prognostic indicators useful for patient specific predictions of disease severity and variability, while identifying new targets for pharmacological targeting.</w:t>
      </w:r>
    </w:p>
    <w:p w:rsidR="0043780F" w:rsidRDefault="0043780F"/>
    <w:sectPr w:rsidR="0043780F" w:rsidSect="00C93B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E7"/>
    <w:rsid w:val="0043780F"/>
    <w:rsid w:val="004631EB"/>
    <w:rsid w:val="006F33E7"/>
    <w:rsid w:val="00A65450"/>
    <w:rsid w:val="00C245A5"/>
    <w:rsid w:val="00C93B8A"/>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6172"/>
  <w15:chartTrackingRefBased/>
  <w15:docId w15:val="{04034D90-4F79-4FC5-8F53-231DDE59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33E7"/>
    <w:rPr>
      <w:i/>
      <w:iCs/>
    </w:rPr>
  </w:style>
  <w:style w:type="character" w:styleId="Hyperlink">
    <w:name w:val="Hyperlink"/>
    <w:basedOn w:val="DefaultParagraphFont"/>
    <w:uiPriority w:val="99"/>
    <w:semiHidden/>
    <w:unhideWhenUsed/>
    <w:rsid w:val="00FF7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www.projectengages.gatech.edu&amp;d=DwMDaQ&amp;c=Ngd-ta5yRYsqeUsEDgxhcqsYYY1Xs5ogLxWPA_2Wlc4&amp;r=4P-7flxzU2gcDcD98ayt_k7NLXDdxpC6g853NVHY0d8&amp;m=uvNIOZ5FG1BgKkneluLMEKuSdXd9O4_piz0gH5N63fc&amp;s=kdjsOsNMXmB-URkJu--lgXIcOo47kmaKP1UjlWhxZ2A&amp;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Humphries</dc:creator>
  <cp:keywords/>
  <dc:description/>
  <cp:lastModifiedBy/>
  <cp:revision>1</cp:revision>
  <dcterms:created xsi:type="dcterms:W3CDTF">2018-05-01T12:32:00Z</dcterms:created>
</cp:coreProperties>
</file>