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75033" w14:textId="77777777" w:rsidR="00AA5869" w:rsidRDefault="001737E2" w:rsidP="006C7CFD">
      <w:pPr>
        <w:spacing w:after="0" w:line="240" w:lineRule="auto"/>
        <w:ind w:left="-90" w:firstLine="180"/>
        <w:rPr>
          <w:noProof/>
        </w:rPr>
      </w:pPr>
      <w:r>
        <w:rPr>
          <w:noProof/>
        </w:rPr>
        <mc:AlternateContent>
          <mc:Choice Requires="wps">
            <w:drawing>
              <wp:anchor distT="0" distB="0" distL="114300" distR="114300" simplePos="0" relativeHeight="251659264" behindDoc="0" locked="0" layoutInCell="1" allowOverlap="1" wp14:anchorId="3A10A1CB" wp14:editId="2B1BC0B7">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74EB6375"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05537CF0"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A10A1CB" id="_x0000_t202" coordsize="21600,21600" o:spt="202" path="m,l,21600r21600,l21600,xe">
                <v:stroke joinstyle="miter"/>
                <v:path gradientshapeok="t" o:connecttype="rect"/>
              </v:shapetype>
              <v:shape id="Text Box 2" o:spid="_x0000_s1026" type="#_x0000_t202" style="position:absolute;left:0;text-align:left;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" fillcolor="#522d80" stroked="f">
                <v:textbox>
                  <w:txbxContent>
                    <w:p w14:paraId="74EB6375"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05537CF0"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62BCE965" wp14:editId="0452BB62">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7C3C7111" w14:textId="77777777" w:rsidR="006C7CFD" w:rsidRPr="006C7CFD" w:rsidRDefault="006C7CFD" w:rsidP="006C7CFD">
      <w:pPr>
        <w:spacing w:after="0" w:line="240" w:lineRule="auto"/>
        <w:ind w:left="-90" w:firstLine="180"/>
        <w:rPr>
          <w:noProof/>
        </w:rPr>
      </w:pPr>
    </w:p>
    <w:p w14:paraId="35CA9063" w14:textId="77777777" w:rsidR="00EC7AC9" w:rsidRPr="00B34D64" w:rsidRDefault="00935903" w:rsidP="00CB0B08">
      <w:pPr>
        <w:tabs>
          <w:tab w:val="left" w:pos="90"/>
        </w:tabs>
        <w:spacing w:after="0" w:line="240" w:lineRule="auto"/>
        <w:ind w:left="-180"/>
        <w:jc w:val="center"/>
        <w:rPr>
          <w:rFonts w:ascii="Verdana" w:eastAsia="Calibri" w:hAnsi="Verdana" w:cs="Times New Roman"/>
          <w:b/>
          <w:color w:val="F66733"/>
          <w:sz w:val="52"/>
          <w:szCs w:val="52"/>
        </w:rPr>
      </w:pPr>
      <w:r w:rsidRPr="00B34D64">
        <w:rPr>
          <w:rFonts w:ascii="Verdana" w:eastAsia="Calibri" w:hAnsi="Verdana" w:cs="Times New Roman"/>
          <w:b/>
          <w:color w:val="F66733"/>
          <w:sz w:val="52"/>
          <w:szCs w:val="52"/>
        </w:rPr>
        <w:t>EEES Department Seminar</w:t>
      </w:r>
    </w:p>
    <w:p w14:paraId="3711FF81" w14:textId="77777777" w:rsidR="00AA5869" w:rsidRPr="00D3195E" w:rsidRDefault="00AA5869" w:rsidP="00EC7AC9">
      <w:pPr>
        <w:tabs>
          <w:tab w:val="left" w:pos="90"/>
        </w:tabs>
        <w:spacing w:after="0" w:line="240" w:lineRule="auto"/>
        <w:jc w:val="center"/>
        <w:rPr>
          <w:rFonts w:ascii="Verdana" w:eastAsia="Calibri" w:hAnsi="Verdana" w:cs="Times New Roman"/>
          <w:b/>
          <w:color w:val="F66733"/>
        </w:rPr>
      </w:pPr>
    </w:p>
    <w:p w14:paraId="4883D406" w14:textId="0DACC0A2" w:rsidR="00220060" w:rsidRPr="003E67DD" w:rsidRDefault="00915E53" w:rsidP="007F5532">
      <w:pPr>
        <w:tabs>
          <w:tab w:val="left" w:pos="90"/>
        </w:tabs>
        <w:spacing w:after="0" w:line="240" w:lineRule="auto"/>
        <w:jc w:val="center"/>
        <w:rPr>
          <w:rFonts w:ascii="Arial" w:eastAsia="Calibri" w:hAnsi="Arial" w:cs="Arial"/>
          <w:b/>
          <w:bCs/>
          <w:color w:val="522D80"/>
          <w:sz w:val="36"/>
          <w:szCs w:val="36"/>
        </w:rPr>
      </w:pPr>
      <w:bookmarkStart w:id="0" w:name="_Hlk18477715"/>
      <w:r w:rsidRPr="003E67DD">
        <w:rPr>
          <w:rFonts w:ascii="Arial" w:eastAsia="Calibri" w:hAnsi="Arial" w:cs="Arial"/>
          <w:b/>
          <w:bCs/>
          <w:color w:val="522D80"/>
          <w:sz w:val="36"/>
          <w:szCs w:val="36"/>
        </w:rPr>
        <w:t>‟</w:t>
      </w:r>
      <w:r w:rsidR="00D715A5" w:rsidRPr="003E67DD">
        <w:rPr>
          <w:sz w:val="18"/>
          <w:szCs w:val="18"/>
        </w:rPr>
        <w:t xml:space="preserve"> </w:t>
      </w:r>
      <w:r w:rsidR="007157A6" w:rsidRPr="007157A6">
        <w:rPr>
          <w:rFonts w:ascii="Arial" w:eastAsia="Calibri" w:hAnsi="Arial" w:cs="Arial"/>
          <w:b/>
          <w:bCs/>
          <w:color w:val="522D80"/>
          <w:sz w:val="36"/>
          <w:szCs w:val="36"/>
        </w:rPr>
        <w:t>The Rational Design of Lignin-derived Polymer Structures Engineered for Chemical Recycling</w:t>
      </w:r>
      <w:r w:rsidR="009D5DA0" w:rsidRPr="003E67DD">
        <w:rPr>
          <w:rFonts w:ascii="Arial" w:eastAsia="Calibri" w:hAnsi="Arial" w:cs="Arial"/>
          <w:b/>
          <w:bCs/>
          <w:color w:val="522D80"/>
          <w:sz w:val="36"/>
          <w:szCs w:val="36"/>
        </w:rPr>
        <w:t>”</w:t>
      </w:r>
      <w:bookmarkStart w:id="1" w:name="_GoBack"/>
      <w:bookmarkEnd w:id="1"/>
    </w:p>
    <w:bookmarkEnd w:id="0"/>
    <w:p w14:paraId="6AF8E9CF" w14:textId="77777777" w:rsidR="003B0E67" w:rsidRPr="00D3195E" w:rsidRDefault="003B0E67" w:rsidP="00EA71AD">
      <w:pPr>
        <w:tabs>
          <w:tab w:val="left" w:pos="360"/>
        </w:tabs>
        <w:spacing w:after="0" w:line="240" w:lineRule="auto"/>
        <w:rPr>
          <w:rFonts w:ascii="Copperplate Gothic Bold" w:eastAsia="Calibri" w:hAnsi="Copperplate Gothic Bold" w:cs="Times New Roman"/>
          <w:b/>
        </w:rPr>
      </w:pPr>
    </w:p>
    <w:p w14:paraId="6A2EAA66" w14:textId="20B7FFFF" w:rsidR="003E3AEC" w:rsidRPr="009E4D47" w:rsidRDefault="00C61210" w:rsidP="001F0E15">
      <w:pPr>
        <w:tabs>
          <w:tab w:val="left" w:pos="2610"/>
        </w:tabs>
        <w:spacing w:after="0" w:line="240" w:lineRule="auto"/>
        <w:jc w:val="center"/>
        <w:rPr>
          <w:rFonts w:ascii="Verdana" w:eastAsia="Calibri" w:hAnsi="Verdana" w:cs="Times New Roman"/>
          <w:b/>
          <w:sz w:val="24"/>
        </w:rPr>
      </w:pPr>
      <w:r w:rsidRPr="009E4D47">
        <w:rPr>
          <w:rFonts w:ascii="Verdana" w:eastAsia="Calibri" w:hAnsi="Verdana" w:cs="Times New Roman"/>
          <w:b/>
          <w:sz w:val="24"/>
        </w:rPr>
        <w:t xml:space="preserve"> </w:t>
      </w:r>
      <w:r w:rsidR="003F1A2C" w:rsidRPr="009E4D47">
        <w:rPr>
          <w:rFonts w:ascii="Verdana" w:eastAsia="Calibri" w:hAnsi="Verdana" w:cs="Times New Roman"/>
          <w:b/>
          <w:sz w:val="24"/>
        </w:rPr>
        <w:t>P</w:t>
      </w:r>
      <w:r w:rsidR="00AF3EA1" w:rsidRPr="009E4D47">
        <w:rPr>
          <w:rFonts w:ascii="Verdana" w:eastAsia="Calibri" w:hAnsi="Verdana" w:cs="Times New Roman"/>
          <w:b/>
          <w:sz w:val="24"/>
        </w:rPr>
        <w:t xml:space="preserve">resented By </w:t>
      </w:r>
    </w:p>
    <w:p w14:paraId="4DE4A5C3" w14:textId="77777777" w:rsidR="00D715A5" w:rsidRDefault="00D715A5" w:rsidP="001F0E15">
      <w:pPr>
        <w:tabs>
          <w:tab w:val="left" w:pos="2610"/>
        </w:tabs>
        <w:spacing w:after="0" w:line="240" w:lineRule="auto"/>
        <w:jc w:val="center"/>
        <w:rPr>
          <w:rFonts w:ascii="Verdana" w:eastAsia="Calibri" w:hAnsi="Verdana" w:cs="Times New Roman"/>
          <w:b/>
        </w:rPr>
      </w:pPr>
    </w:p>
    <w:p w14:paraId="03C46735" w14:textId="6F36832C" w:rsidR="00D715A5" w:rsidRPr="009E4D47" w:rsidRDefault="002901D2" w:rsidP="00D715A5">
      <w:pPr>
        <w:jc w:val="center"/>
        <w:rPr>
          <w:b/>
          <w:sz w:val="28"/>
          <w:szCs w:val="24"/>
        </w:rPr>
      </w:pPr>
      <w:r w:rsidRPr="009E4D47">
        <w:rPr>
          <w:b/>
          <w:sz w:val="28"/>
          <w:szCs w:val="24"/>
        </w:rPr>
        <w:t xml:space="preserve">Dr. </w:t>
      </w:r>
      <w:r w:rsidR="000A07CC">
        <w:rPr>
          <w:b/>
          <w:sz w:val="28"/>
          <w:szCs w:val="24"/>
        </w:rPr>
        <w:t>Srikanth Pilla</w:t>
      </w:r>
    </w:p>
    <w:p w14:paraId="1C2C5DC1" w14:textId="77777777" w:rsidR="00C01A30" w:rsidRPr="00C01A30" w:rsidRDefault="00C01A30" w:rsidP="00C01A30">
      <w:pPr>
        <w:jc w:val="center"/>
        <w:rPr>
          <w:rFonts w:ascii="Times New Roman" w:eastAsia="Times New Roman" w:hAnsi="Times New Roman" w:cs="Times New Roman"/>
          <w:i/>
          <w:iCs/>
          <w:color w:val="000000"/>
          <w:sz w:val="28"/>
          <w:szCs w:val="24"/>
        </w:rPr>
      </w:pPr>
      <w:r w:rsidRPr="00C01A30">
        <w:rPr>
          <w:rFonts w:ascii="Times New Roman" w:eastAsia="Times New Roman" w:hAnsi="Times New Roman" w:cs="Times New Roman"/>
          <w:i/>
          <w:iCs/>
          <w:color w:val="000000"/>
          <w:sz w:val="28"/>
          <w:szCs w:val="24"/>
        </w:rPr>
        <w:t>Robert Patrick Jenkins Endowed Professor Founding Director, Clemson Composites Center</w:t>
      </w:r>
    </w:p>
    <w:p w14:paraId="1ACEF393" w14:textId="77777777" w:rsidR="009D5DA0" w:rsidRPr="009E4D47" w:rsidRDefault="00632DB3" w:rsidP="009D5DA0">
      <w:pPr>
        <w:spacing w:after="0" w:line="240" w:lineRule="auto"/>
        <w:jc w:val="center"/>
        <w:rPr>
          <w:rFonts w:ascii="Times New Roman" w:eastAsia="Calibri" w:hAnsi="Times New Roman" w:cs="Times New Roman"/>
          <w:bCs/>
          <w:sz w:val="28"/>
          <w:szCs w:val="24"/>
        </w:rPr>
      </w:pPr>
      <w:hyperlink r:id="rId10" w:history="1">
        <w:r w:rsidR="009D5DA0" w:rsidRPr="009E4D47">
          <w:rPr>
            <w:rFonts w:ascii="Times New Roman" w:eastAsia="Calibri" w:hAnsi="Times New Roman" w:cs="Times New Roman"/>
            <w:bCs/>
            <w:color w:val="0563C1"/>
            <w:sz w:val="28"/>
            <w:szCs w:val="24"/>
            <w:u w:val="single"/>
          </w:rPr>
          <w:t>https://clemson.zoom.us/j/5783910968</w:t>
        </w:r>
      </w:hyperlink>
      <w:r w:rsidR="009D5DA0" w:rsidRPr="009E4D47">
        <w:rPr>
          <w:rFonts w:ascii="Times New Roman" w:eastAsia="Calibri" w:hAnsi="Times New Roman" w:cs="Times New Roman"/>
          <w:bCs/>
          <w:sz w:val="28"/>
          <w:szCs w:val="24"/>
        </w:rPr>
        <w:t xml:space="preserve"> </w:t>
      </w:r>
    </w:p>
    <w:p w14:paraId="106316C9" w14:textId="77777777" w:rsidR="009D5DA0" w:rsidRPr="009D5DA0" w:rsidRDefault="009D5DA0" w:rsidP="009D5DA0">
      <w:pPr>
        <w:spacing w:after="0" w:line="240" w:lineRule="auto"/>
        <w:rPr>
          <w:rFonts w:ascii="Times New Roman" w:eastAsia="Calibri" w:hAnsi="Times New Roman" w:cs="Times New Roman"/>
          <w:bCs/>
          <w:sz w:val="24"/>
          <w:szCs w:val="24"/>
        </w:rPr>
      </w:pPr>
    </w:p>
    <w:p w14:paraId="446DE254" w14:textId="77777777" w:rsidR="009D5DA0" w:rsidRPr="009D5DA0" w:rsidRDefault="009D5DA0" w:rsidP="009D5DA0">
      <w:pPr>
        <w:spacing w:after="0" w:line="240" w:lineRule="auto"/>
        <w:rPr>
          <w:rFonts w:ascii="Times New Roman" w:eastAsia="Calibri" w:hAnsi="Times New Roman" w:cs="Times New Roman"/>
          <w:bCs/>
          <w:sz w:val="24"/>
          <w:szCs w:val="24"/>
        </w:rPr>
      </w:pPr>
    </w:p>
    <w:p w14:paraId="06D45568" w14:textId="13638FEC" w:rsidR="007F5532" w:rsidRDefault="007F5532" w:rsidP="007F5532">
      <w:pPr>
        <w:spacing w:after="0" w:line="240" w:lineRule="auto"/>
        <w:rPr>
          <w:rFonts w:ascii="Times New Roman" w:eastAsia="Times New Roman" w:hAnsi="Times New Roman" w:cs="Times New Roman"/>
          <w:b/>
          <w:bCs/>
          <w:color w:val="000000"/>
          <w:sz w:val="24"/>
          <w:szCs w:val="24"/>
        </w:rPr>
      </w:pPr>
      <w:r w:rsidRPr="00726C70">
        <w:rPr>
          <w:rFonts w:ascii="Times New Roman" w:eastAsia="Times New Roman" w:hAnsi="Times New Roman" w:cs="Times New Roman"/>
          <w:b/>
          <w:bCs/>
          <w:color w:val="000000"/>
          <w:sz w:val="24"/>
          <w:szCs w:val="24"/>
        </w:rPr>
        <w:t>Abstract</w:t>
      </w:r>
    </w:p>
    <w:p w14:paraId="59EDC8F8" w14:textId="6CA12E6B" w:rsidR="00B74088" w:rsidRDefault="00B74088" w:rsidP="00B74088">
      <w:pPr>
        <w:pStyle w:val="NormalWeb"/>
        <w:rPr>
          <w:rFonts w:ascii="Times" w:hAnsi="Times"/>
          <w:sz w:val="22"/>
          <w:szCs w:val="22"/>
        </w:rPr>
      </w:pPr>
      <w:r>
        <w:rPr>
          <w:rFonts w:ascii="Times" w:hAnsi="Times"/>
          <w:sz w:val="22"/>
          <w:szCs w:val="22"/>
        </w:rPr>
        <w:t xml:space="preserve">The environmental crisis caused by the modern accumulation of plastic waste has driven many to search for a circular lifecycle for commodity plastics. The synthesis of new plastics for a sustainable economy has often looked towards </w:t>
      </w:r>
      <w:proofErr w:type="spellStart"/>
      <w:r>
        <w:rPr>
          <w:rFonts w:ascii="Times" w:hAnsi="Times"/>
          <w:sz w:val="22"/>
          <w:szCs w:val="22"/>
        </w:rPr>
        <w:t>biobased</w:t>
      </w:r>
      <w:proofErr w:type="spellEnd"/>
      <w:r>
        <w:rPr>
          <w:rFonts w:ascii="Times" w:hAnsi="Times"/>
          <w:sz w:val="22"/>
          <w:szCs w:val="22"/>
        </w:rPr>
        <w:t xml:space="preserve"> sources without incorporating an inherent design for recyclability. In this work, we report the results of a study aimed at recycling lignin-derived non-diisocyanate polyurethanes and track the structural alteration that occurs to recycled precursors. Lignin composes about 30% of natural biomass and is the largest source of aromatic carbon on earth. The use of lignin comes with opportunities and challenges. Lignin is a reactive, heterogeneous polymer that is prone to side reactions that reduce its functionality and value as an aromatic precursor to polymer synthesis. Starting from a patent-pending protocol developed in our lab for non-isocyanate polyurethane foams, a hydrolytic chemical recycling technique is used to revert waste polymers back to their precursors: lignin and a bio-derived curing agent. In addition, </w:t>
      </w:r>
      <w:proofErr w:type="gramStart"/>
      <w:r>
        <w:rPr>
          <w:rFonts w:ascii="Times" w:hAnsi="Times"/>
          <w:sz w:val="22"/>
          <w:szCs w:val="22"/>
        </w:rPr>
        <w:t>through the use of</w:t>
      </w:r>
      <w:proofErr w:type="gramEnd"/>
      <w:r>
        <w:rPr>
          <w:rFonts w:ascii="Times" w:hAnsi="Times"/>
          <w:sz w:val="22"/>
          <w:szCs w:val="22"/>
        </w:rPr>
        <w:t xml:space="preserve"> vulnerable "molecular zippers" throughout the polymer structure, native structural features of lignin can be regenerated during chemical recycling. By exploring additives during chemical recycling, the prospect of enhancing recycled feedstocks is explored. Finally, recycled precursors are used to synthesize a second generation of polyurethane foams and the physical and mechanical properties are compared the first generation. This study opens a unique window toward understanding how lignin can be used in the rational design of polymer structures specifically engineered to undergo chemical recycling at their end of life. </w:t>
      </w:r>
    </w:p>
    <w:p w14:paraId="5A2D2541" w14:textId="77777777" w:rsidR="00AC435F" w:rsidRDefault="00AC435F" w:rsidP="00AC435F">
      <w:pPr>
        <w:pStyle w:val="NormalWeb"/>
      </w:pPr>
      <w:r>
        <w:rPr>
          <w:rFonts w:ascii="Times" w:hAnsi="Times"/>
          <w:noProof/>
          <w:sz w:val="22"/>
          <w:szCs w:val="22"/>
        </w:rPr>
        <w:drawing>
          <wp:anchor distT="0" distB="0" distL="114300" distR="114300" simplePos="0" relativeHeight="251658240" behindDoc="0" locked="0" layoutInCell="1" allowOverlap="1" wp14:anchorId="10FB27ED" wp14:editId="0E376580">
            <wp:simplePos x="0" y="0"/>
            <wp:positionH relativeFrom="column">
              <wp:posOffset>0</wp:posOffset>
            </wp:positionH>
            <wp:positionV relativeFrom="paragraph">
              <wp:posOffset>222215</wp:posOffset>
            </wp:positionV>
            <wp:extent cx="1436370" cy="1666240"/>
            <wp:effectExtent l="0" t="0" r="0" b="0"/>
            <wp:wrapSquare wrapText="bothSides"/>
            <wp:docPr id="1" name="Picture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suit and ti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6370" cy="1666240"/>
                    </a:xfrm>
                    <a:prstGeom prst="rect">
                      <a:avLst/>
                    </a:prstGeom>
                  </pic:spPr>
                </pic:pic>
              </a:graphicData>
            </a:graphic>
            <wp14:sizeRelH relativeFrom="page">
              <wp14:pctWidth>0</wp14:pctWidth>
            </wp14:sizeRelH>
            <wp14:sizeRelV relativeFrom="page">
              <wp14:pctHeight>0</wp14:pctHeight>
            </wp14:sizeRelV>
          </wp:anchor>
        </w:drawing>
      </w:r>
      <w:r>
        <w:rPr>
          <w:rFonts w:ascii="Times" w:hAnsi="Times"/>
          <w:b/>
          <w:bCs/>
          <w:sz w:val="22"/>
          <w:szCs w:val="22"/>
        </w:rPr>
        <w:t xml:space="preserve">About the Speaker: </w:t>
      </w:r>
      <w:r>
        <w:br/>
      </w:r>
      <w:r>
        <w:rPr>
          <w:rFonts w:ascii="Times" w:hAnsi="Times"/>
          <w:sz w:val="22"/>
          <w:szCs w:val="22"/>
        </w:rPr>
        <w:t xml:space="preserve">Dr. Srikanth Pilla is the Robert Patrick Jenkins endowed professor, and the founding director of Clemson Composites Center at Clemson University. He earned his doctorate in mechanical engineering from University of Wisconsin-Milwaukee with a postdoctoral training from Stanford University. Prior to joining Clemson, Pilla worked as an Assistant Scientist at University of Wisconsin-Madison. Pilla also spent time in industry having worked at SC Johnson and </w:t>
      </w:r>
      <w:proofErr w:type="spellStart"/>
      <w:r>
        <w:rPr>
          <w:rFonts w:ascii="Times" w:hAnsi="Times"/>
          <w:sz w:val="22"/>
          <w:szCs w:val="22"/>
        </w:rPr>
        <w:t>SuGanit</w:t>
      </w:r>
      <w:proofErr w:type="spellEnd"/>
      <w:r>
        <w:rPr>
          <w:rFonts w:ascii="Times" w:hAnsi="Times"/>
          <w:sz w:val="22"/>
          <w:szCs w:val="22"/>
        </w:rPr>
        <w:t xml:space="preserve"> </w:t>
      </w:r>
      <w:proofErr w:type="spellStart"/>
      <w:r>
        <w:rPr>
          <w:rFonts w:ascii="Times" w:hAnsi="Times"/>
          <w:sz w:val="22"/>
          <w:szCs w:val="22"/>
        </w:rPr>
        <w:t>Biorenewables</w:t>
      </w:r>
      <w:proofErr w:type="spellEnd"/>
      <w:r>
        <w:rPr>
          <w:rFonts w:ascii="Times" w:hAnsi="Times"/>
          <w:sz w:val="22"/>
          <w:szCs w:val="22"/>
        </w:rPr>
        <w:t xml:space="preserve"> as R&amp;D scientist. Pilla’s research interests are in the fundamentals and applications of sustainable and lightweight functional materials and manufacturing. Encompassing “Circular Economy” and “Sustainable Engineering” domains, Pilla’s created </w:t>
      </w:r>
      <w:r>
        <w:rPr>
          <w:rFonts w:ascii="Times" w:hAnsi="Times"/>
          <w:b/>
          <w:bCs/>
          <w:sz w:val="22"/>
          <w:szCs w:val="22"/>
        </w:rPr>
        <w:t xml:space="preserve">Circular Engineering </w:t>
      </w:r>
      <w:r>
        <w:rPr>
          <w:rFonts w:ascii="Times" w:hAnsi="Times"/>
          <w:sz w:val="22"/>
          <w:szCs w:val="22"/>
        </w:rPr>
        <w:t>concept builds on the foundations of “Materials Genome Initiative”, and “Hybrid and Intelligent Manufacturing Technologies”. Specifically, Pilla’s work enables informatics- driven materials and manufacturing discoveries of concepts that DRIVES (</w:t>
      </w:r>
      <w:r>
        <w:rPr>
          <w:rFonts w:ascii="Times" w:hAnsi="Times"/>
          <w:color w:val="FF0000"/>
          <w:sz w:val="22"/>
          <w:szCs w:val="22"/>
        </w:rPr>
        <w:t>D</w:t>
      </w:r>
      <w:r>
        <w:rPr>
          <w:rFonts w:ascii="Times" w:hAnsi="Times"/>
          <w:sz w:val="22"/>
          <w:szCs w:val="22"/>
        </w:rPr>
        <w:t xml:space="preserve">riving </w:t>
      </w:r>
      <w:r>
        <w:rPr>
          <w:rFonts w:ascii="Times" w:hAnsi="Times"/>
          <w:color w:val="FF0000"/>
          <w:sz w:val="22"/>
          <w:szCs w:val="22"/>
        </w:rPr>
        <w:t>R</w:t>
      </w:r>
      <w:r>
        <w:rPr>
          <w:rFonts w:ascii="Times" w:hAnsi="Times"/>
          <w:sz w:val="22"/>
          <w:szCs w:val="22"/>
        </w:rPr>
        <w:t xml:space="preserve">esearch and </w:t>
      </w:r>
      <w:r>
        <w:rPr>
          <w:rFonts w:ascii="Times" w:hAnsi="Times"/>
          <w:color w:val="FF0000"/>
          <w:sz w:val="22"/>
          <w:szCs w:val="22"/>
        </w:rPr>
        <w:t>I</w:t>
      </w:r>
      <w:r>
        <w:rPr>
          <w:rFonts w:ascii="Times" w:hAnsi="Times"/>
          <w:sz w:val="22"/>
          <w:szCs w:val="22"/>
        </w:rPr>
        <w:t xml:space="preserve">nnovation for </w:t>
      </w:r>
      <w:r>
        <w:rPr>
          <w:rFonts w:ascii="Times" w:hAnsi="Times"/>
          <w:color w:val="FF0000"/>
          <w:sz w:val="22"/>
          <w:szCs w:val="22"/>
        </w:rPr>
        <w:t>V</w:t>
      </w:r>
      <w:r>
        <w:rPr>
          <w:rFonts w:ascii="Times" w:hAnsi="Times"/>
          <w:sz w:val="22"/>
          <w:szCs w:val="22"/>
        </w:rPr>
        <w:t xml:space="preserve">alue-added </w:t>
      </w:r>
      <w:r>
        <w:rPr>
          <w:rFonts w:ascii="Times" w:hAnsi="Times"/>
          <w:color w:val="FF0000"/>
          <w:sz w:val="22"/>
          <w:szCs w:val="22"/>
        </w:rPr>
        <w:t>E</w:t>
      </w:r>
      <w:r>
        <w:rPr>
          <w:rFonts w:ascii="Times" w:hAnsi="Times"/>
          <w:sz w:val="22"/>
          <w:szCs w:val="22"/>
        </w:rPr>
        <w:t xml:space="preserve">nvironmental </w:t>
      </w:r>
      <w:r>
        <w:rPr>
          <w:rFonts w:ascii="Times" w:hAnsi="Times"/>
          <w:color w:val="FF0000"/>
          <w:sz w:val="22"/>
          <w:szCs w:val="22"/>
        </w:rPr>
        <w:t>S</w:t>
      </w:r>
      <w:r>
        <w:rPr>
          <w:rFonts w:ascii="Times" w:hAnsi="Times"/>
          <w:sz w:val="22"/>
          <w:szCs w:val="22"/>
        </w:rPr>
        <w:t xml:space="preserve">ustainability) the world on a true sustainable path. Pilla has co-authored over 125 peer-reviewed archival publications. He edited the world’s leading handbook in bioplastics and </w:t>
      </w:r>
      <w:proofErr w:type="spellStart"/>
      <w:r>
        <w:rPr>
          <w:rFonts w:ascii="Times" w:hAnsi="Times"/>
          <w:sz w:val="22"/>
          <w:szCs w:val="22"/>
        </w:rPr>
        <w:t>biocomposites</w:t>
      </w:r>
      <w:proofErr w:type="spellEnd"/>
      <w:r>
        <w:rPr>
          <w:rFonts w:ascii="Times" w:hAnsi="Times"/>
          <w:sz w:val="22"/>
          <w:szCs w:val="22"/>
        </w:rPr>
        <w:t xml:space="preserve"> and four SAE-Progress in Technology Series books. His research is supported by NSF, DOE, USDA, DOD, NIH, and NASA, besides several foundations and industries including automotive OEMs, and their suppliers. His research has created over $31M of funding. Pilla’s efforts in research and engineering education have garnered him numerous awards, including the 2019 SPE Composites Educator of the Year Award, 2019 McQueen </w:t>
      </w:r>
      <w:proofErr w:type="spellStart"/>
      <w:r>
        <w:rPr>
          <w:rFonts w:ascii="Times" w:hAnsi="Times"/>
          <w:sz w:val="22"/>
          <w:szCs w:val="22"/>
        </w:rPr>
        <w:t>Quattlebaum</w:t>
      </w:r>
      <w:proofErr w:type="spellEnd"/>
      <w:r>
        <w:rPr>
          <w:rFonts w:ascii="Times" w:hAnsi="Times"/>
          <w:sz w:val="22"/>
          <w:szCs w:val="22"/>
        </w:rPr>
        <w:t xml:space="preserve"> Award, 2018 SC Governor’s Young Scientist Award, 2018 University of Wisconsin GOLD Award, 2017 BEPS Outstanding Young Scientist Award, 2017 Stefan </w:t>
      </w:r>
      <w:proofErr w:type="spellStart"/>
      <w:r>
        <w:rPr>
          <w:rFonts w:ascii="Times" w:hAnsi="Times"/>
          <w:sz w:val="22"/>
          <w:szCs w:val="22"/>
        </w:rPr>
        <w:t>Pischinger</w:t>
      </w:r>
      <w:proofErr w:type="spellEnd"/>
      <w:r>
        <w:rPr>
          <w:rFonts w:ascii="Times" w:hAnsi="Times"/>
          <w:sz w:val="22"/>
          <w:szCs w:val="22"/>
        </w:rPr>
        <w:t xml:space="preserve"> Young Industry Leadership Award, 2017 SAE Ralph R. </w:t>
      </w:r>
      <w:proofErr w:type="spellStart"/>
      <w:r>
        <w:rPr>
          <w:rFonts w:ascii="Times" w:hAnsi="Times"/>
          <w:sz w:val="22"/>
          <w:szCs w:val="22"/>
        </w:rPr>
        <w:t>Teetor</w:t>
      </w:r>
      <w:proofErr w:type="spellEnd"/>
      <w:r>
        <w:rPr>
          <w:rFonts w:ascii="Times" w:hAnsi="Times"/>
          <w:sz w:val="22"/>
          <w:szCs w:val="22"/>
        </w:rPr>
        <w:t xml:space="preserve"> Educational Award, 2017 Forest R. McFarland Award from SAE, and 2016 Robert J. </w:t>
      </w:r>
      <w:proofErr w:type="spellStart"/>
      <w:r>
        <w:rPr>
          <w:rFonts w:ascii="Times" w:hAnsi="Times"/>
          <w:sz w:val="22"/>
          <w:szCs w:val="22"/>
        </w:rPr>
        <w:t>Hocken</w:t>
      </w:r>
      <w:proofErr w:type="spellEnd"/>
      <w:r>
        <w:rPr>
          <w:rFonts w:ascii="Times" w:hAnsi="Times"/>
          <w:sz w:val="22"/>
          <w:szCs w:val="22"/>
        </w:rPr>
        <w:t xml:space="preserve"> Outstanding Young Manufacturing Engineer award from SME. </w:t>
      </w:r>
    </w:p>
    <w:p w14:paraId="7E7EAF09" w14:textId="77777777" w:rsidR="00B74088" w:rsidRDefault="00B74088" w:rsidP="00B74088">
      <w:pPr>
        <w:pStyle w:val="NormalWeb"/>
      </w:pPr>
    </w:p>
    <w:p w14:paraId="6D9513A5" w14:textId="77777777" w:rsidR="00A4210F" w:rsidRPr="00726C70" w:rsidRDefault="00A4210F" w:rsidP="007F5532">
      <w:pPr>
        <w:spacing w:after="0" w:line="240" w:lineRule="auto"/>
        <w:rPr>
          <w:rFonts w:ascii="Times New Roman" w:eastAsia="Times New Roman" w:hAnsi="Times New Roman" w:cs="Times New Roman"/>
          <w:b/>
          <w:bCs/>
          <w:color w:val="000000"/>
          <w:sz w:val="24"/>
          <w:szCs w:val="24"/>
        </w:rPr>
      </w:pPr>
    </w:p>
    <w:p w14:paraId="0BE780B1" w14:textId="77777777" w:rsidR="00711593" w:rsidRDefault="00711593" w:rsidP="001F0E15">
      <w:pPr>
        <w:tabs>
          <w:tab w:val="left" w:pos="2610"/>
        </w:tabs>
        <w:spacing w:after="0" w:line="240" w:lineRule="auto"/>
        <w:jc w:val="center"/>
        <w:rPr>
          <w:rFonts w:ascii="Verdana" w:eastAsia="Calibri" w:hAnsi="Verdana" w:cs="Times New Roman"/>
          <w:b/>
        </w:rPr>
      </w:pPr>
    </w:p>
    <w:p w14:paraId="2C76CEFD" w14:textId="59BAC194" w:rsidR="001E7C66" w:rsidRPr="009D5DA0" w:rsidRDefault="00944848" w:rsidP="00944848">
      <w:pPr>
        <w:spacing w:after="240" w:line="240" w:lineRule="auto"/>
        <w:jc w:val="center"/>
        <w:rPr>
          <w:rFonts w:ascii="Verdana" w:eastAsia="Calibri" w:hAnsi="Verdana" w:cs="Times New Roman"/>
          <w:b/>
          <w:i/>
          <w:sz w:val="24"/>
          <w:szCs w:val="32"/>
        </w:rPr>
      </w:pPr>
      <w:r w:rsidRPr="009D5DA0">
        <w:rPr>
          <w:rFonts w:ascii="Verdana" w:eastAsia="Calibri" w:hAnsi="Verdana" w:cs="Times New Roman"/>
          <w:b/>
          <w:i/>
          <w:sz w:val="24"/>
          <w:szCs w:val="32"/>
        </w:rPr>
        <w:t xml:space="preserve">Friday, </w:t>
      </w:r>
      <w:r w:rsidR="003E67DD">
        <w:rPr>
          <w:rFonts w:ascii="Verdana" w:eastAsia="Calibri" w:hAnsi="Verdana" w:cs="Times New Roman"/>
          <w:b/>
          <w:i/>
          <w:sz w:val="24"/>
          <w:szCs w:val="32"/>
        </w:rPr>
        <w:t>Novembe</w:t>
      </w:r>
      <w:r w:rsidR="00B74088">
        <w:rPr>
          <w:rFonts w:ascii="Verdana" w:eastAsia="Calibri" w:hAnsi="Verdana" w:cs="Times New Roman"/>
          <w:b/>
          <w:i/>
          <w:sz w:val="24"/>
          <w:szCs w:val="32"/>
        </w:rPr>
        <w:t>r 20</w:t>
      </w:r>
      <w:r w:rsidR="001E7C66" w:rsidRPr="009D5DA0">
        <w:rPr>
          <w:rFonts w:ascii="Verdana" w:eastAsia="Calibri" w:hAnsi="Verdana" w:cs="Times New Roman"/>
          <w:b/>
          <w:i/>
          <w:sz w:val="24"/>
          <w:szCs w:val="32"/>
        </w:rPr>
        <w:t>, 20</w:t>
      </w:r>
      <w:r w:rsidR="00711593" w:rsidRPr="009D5DA0">
        <w:rPr>
          <w:rFonts w:ascii="Verdana" w:eastAsia="Calibri" w:hAnsi="Verdana" w:cs="Times New Roman"/>
          <w:b/>
          <w:i/>
          <w:sz w:val="24"/>
          <w:szCs w:val="32"/>
        </w:rPr>
        <w:t>20</w:t>
      </w:r>
      <w:r w:rsidRPr="009D5DA0">
        <w:rPr>
          <w:rFonts w:ascii="Verdana" w:eastAsia="Calibri" w:hAnsi="Verdana" w:cs="Times New Roman"/>
          <w:b/>
          <w:i/>
          <w:sz w:val="24"/>
          <w:szCs w:val="32"/>
        </w:rPr>
        <w:t xml:space="preserve">  </w:t>
      </w:r>
    </w:p>
    <w:p w14:paraId="64EF88F7" w14:textId="77777777" w:rsidR="001E7C66" w:rsidRPr="009D5DA0" w:rsidRDefault="00944848" w:rsidP="00944848">
      <w:pPr>
        <w:spacing w:after="240" w:line="240" w:lineRule="auto"/>
        <w:jc w:val="center"/>
        <w:rPr>
          <w:rFonts w:ascii="Verdana" w:eastAsia="Calibri" w:hAnsi="Verdana" w:cs="Times New Roman"/>
          <w:b/>
          <w:i/>
          <w:sz w:val="24"/>
          <w:szCs w:val="32"/>
        </w:rPr>
      </w:pPr>
      <w:r w:rsidRPr="009D5DA0">
        <w:rPr>
          <w:rFonts w:ascii="Verdana" w:eastAsia="Calibri" w:hAnsi="Verdana" w:cs="Times New Roman"/>
          <w:b/>
          <w:i/>
          <w:color w:val="FF0000"/>
          <w:sz w:val="24"/>
          <w:szCs w:val="32"/>
        </w:rPr>
        <w:t>2:30 PM</w:t>
      </w:r>
    </w:p>
    <w:p w14:paraId="54664964" w14:textId="5B24652F" w:rsidR="00944848" w:rsidRPr="009D5DA0" w:rsidRDefault="00D715A5" w:rsidP="00944848">
      <w:pPr>
        <w:spacing w:after="240" w:line="240" w:lineRule="auto"/>
        <w:jc w:val="center"/>
        <w:rPr>
          <w:rFonts w:ascii="Verdana" w:eastAsia="Calibri" w:hAnsi="Verdana" w:cs="Times New Roman"/>
          <w:b/>
          <w:i/>
          <w:sz w:val="24"/>
          <w:szCs w:val="32"/>
        </w:rPr>
      </w:pPr>
      <w:r w:rsidRPr="009D5DA0">
        <w:rPr>
          <w:rFonts w:ascii="Verdana" w:eastAsia="Calibri" w:hAnsi="Verdana" w:cs="Times New Roman"/>
          <w:b/>
          <w:i/>
          <w:sz w:val="24"/>
          <w:szCs w:val="32"/>
        </w:rPr>
        <w:t>Online via Zoom</w:t>
      </w:r>
    </w:p>
    <w:p w14:paraId="55730EEE" w14:textId="77777777" w:rsidR="001A3851" w:rsidRPr="00944848" w:rsidRDefault="001A3851" w:rsidP="00944848">
      <w:pPr>
        <w:spacing w:after="0" w:line="240" w:lineRule="auto"/>
        <w:jc w:val="center"/>
        <w:rPr>
          <w:rFonts w:ascii="Verdana" w:eastAsia="Calibri" w:hAnsi="Verdana" w:cs="Times New Roman"/>
          <w:b/>
          <w:i/>
          <w:sz w:val="20"/>
          <w:szCs w:val="20"/>
        </w:rPr>
      </w:pPr>
      <w:r>
        <w:rPr>
          <w:rFonts w:ascii="Calibri" w:hAnsi="Calibri" w:cs="Calibri"/>
          <w:color w:val="1F497D"/>
        </w:rPr>
        <w:t> </w:t>
      </w:r>
      <w:r>
        <w:rPr>
          <w:rFonts w:ascii="Calibri" w:hAnsi="Calibri" w:cs="Calibri"/>
          <w:b/>
          <w:bCs/>
          <w:i/>
          <w:iCs/>
          <w:color w:val="F66733"/>
          <w:sz w:val="24"/>
          <w:szCs w:val="24"/>
        </w:rPr>
        <w:t>“Attendance is mandatory for graduate students enrolled in EES 8610, EES 9610, and GEOL 8510.” </w:t>
      </w:r>
    </w:p>
    <w:sectPr w:rsidR="001A3851" w:rsidRPr="00944848" w:rsidSect="003E67DD">
      <w:pgSz w:w="12240" w:h="20160" w:code="5"/>
      <w:pgMar w:top="288" w:right="720"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A2E0F"/>
    <w:multiLevelType w:val="hybridMultilevel"/>
    <w:tmpl w:val="61D45730"/>
    <w:lvl w:ilvl="0" w:tplc="60E0F0EA">
      <w:start w:val="1"/>
      <w:numFmt w:val="bullet"/>
      <w:lvlText w:val="•"/>
      <w:lvlJc w:val="left"/>
      <w:pPr>
        <w:tabs>
          <w:tab w:val="num" w:pos="720"/>
        </w:tabs>
        <w:ind w:left="720" w:hanging="360"/>
      </w:pPr>
      <w:rPr>
        <w:rFonts w:ascii="Arial" w:hAnsi="Arial" w:hint="default"/>
      </w:rPr>
    </w:lvl>
    <w:lvl w:ilvl="1" w:tplc="BF6638E4" w:tentative="1">
      <w:start w:val="1"/>
      <w:numFmt w:val="bullet"/>
      <w:lvlText w:val="•"/>
      <w:lvlJc w:val="left"/>
      <w:pPr>
        <w:tabs>
          <w:tab w:val="num" w:pos="1440"/>
        </w:tabs>
        <w:ind w:left="1440" w:hanging="360"/>
      </w:pPr>
      <w:rPr>
        <w:rFonts w:ascii="Arial" w:hAnsi="Arial" w:hint="default"/>
      </w:rPr>
    </w:lvl>
    <w:lvl w:ilvl="2" w:tplc="115A0FA6" w:tentative="1">
      <w:start w:val="1"/>
      <w:numFmt w:val="bullet"/>
      <w:lvlText w:val="•"/>
      <w:lvlJc w:val="left"/>
      <w:pPr>
        <w:tabs>
          <w:tab w:val="num" w:pos="2160"/>
        </w:tabs>
        <w:ind w:left="2160" w:hanging="360"/>
      </w:pPr>
      <w:rPr>
        <w:rFonts w:ascii="Arial" w:hAnsi="Arial" w:hint="default"/>
      </w:rPr>
    </w:lvl>
    <w:lvl w:ilvl="3" w:tplc="A3FA33FE" w:tentative="1">
      <w:start w:val="1"/>
      <w:numFmt w:val="bullet"/>
      <w:lvlText w:val="•"/>
      <w:lvlJc w:val="left"/>
      <w:pPr>
        <w:tabs>
          <w:tab w:val="num" w:pos="2880"/>
        </w:tabs>
        <w:ind w:left="2880" w:hanging="360"/>
      </w:pPr>
      <w:rPr>
        <w:rFonts w:ascii="Arial" w:hAnsi="Arial" w:hint="default"/>
      </w:rPr>
    </w:lvl>
    <w:lvl w:ilvl="4" w:tplc="1FF67F0C" w:tentative="1">
      <w:start w:val="1"/>
      <w:numFmt w:val="bullet"/>
      <w:lvlText w:val="•"/>
      <w:lvlJc w:val="left"/>
      <w:pPr>
        <w:tabs>
          <w:tab w:val="num" w:pos="3600"/>
        </w:tabs>
        <w:ind w:left="3600" w:hanging="360"/>
      </w:pPr>
      <w:rPr>
        <w:rFonts w:ascii="Arial" w:hAnsi="Arial" w:hint="default"/>
      </w:rPr>
    </w:lvl>
    <w:lvl w:ilvl="5" w:tplc="8B60518E" w:tentative="1">
      <w:start w:val="1"/>
      <w:numFmt w:val="bullet"/>
      <w:lvlText w:val="•"/>
      <w:lvlJc w:val="left"/>
      <w:pPr>
        <w:tabs>
          <w:tab w:val="num" w:pos="4320"/>
        </w:tabs>
        <w:ind w:left="4320" w:hanging="360"/>
      </w:pPr>
      <w:rPr>
        <w:rFonts w:ascii="Arial" w:hAnsi="Arial" w:hint="default"/>
      </w:rPr>
    </w:lvl>
    <w:lvl w:ilvl="6" w:tplc="17768E3A" w:tentative="1">
      <w:start w:val="1"/>
      <w:numFmt w:val="bullet"/>
      <w:lvlText w:val="•"/>
      <w:lvlJc w:val="left"/>
      <w:pPr>
        <w:tabs>
          <w:tab w:val="num" w:pos="5040"/>
        </w:tabs>
        <w:ind w:left="5040" w:hanging="360"/>
      </w:pPr>
      <w:rPr>
        <w:rFonts w:ascii="Arial" w:hAnsi="Arial" w:hint="default"/>
      </w:rPr>
    </w:lvl>
    <w:lvl w:ilvl="7" w:tplc="BA6692D4" w:tentative="1">
      <w:start w:val="1"/>
      <w:numFmt w:val="bullet"/>
      <w:lvlText w:val="•"/>
      <w:lvlJc w:val="left"/>
      <w:pPr>
        <w:tabs>
          <w:tab w:val="num" w:pos="5760"/>
        </w:tabs>
        <w:ind w:left="5760" w:hanging="360"/>
      </w:pPr>
      <w:rPr>
        <w:rFonts w:ascii="Arial" w:hAnsi="Arial" w:hint="default"/>
      </w:rPr>
    </w:lvl>
    <w:lvl w:ilvl="8" w:tplc="7402D0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F523A7"/>
    <w:multiLevelType w:val="hybridMultilevel"/>
    <w:tmpl w:val="0DC24AEC"/>
    <w:lvl w:ilvl="0" w:tplc="CC3C94F4">
      <w:start w:val="1"/>
      <w:numFmt w:val="bullet"/>
      <w:lvlText w:val="•"/>
      <w:lvlJc w:val="left"/>
      <w:pPr>
        <w:tabs>
          <w:tab w:val="num" w:pos="720"/>
        </w:tabs>
        <w:ind w:left="720" w:hanging="360"/>
      </w:pPr>
      <w:rPr>
        <w:rFonts w:ascii="Arial" w:hAnsi="Arial" w:hint="default"/>
      </w:rPr>
    </w:lvl>
    <w:lvl w:ilvl="1" w:tplc="ECB8CEAE" w:tentative="1">
      <w:start w:val="1"/>
      <w:numFmt w:val="bullet"/>
      <w:lvlText w:val="•"/>
      <w:lvlJc w:val="left"/>
      <w:pPr>
        <w:tabs>
          <w:tab w:val="num" w:pos="1440"/>
        </w:tabs>
        <w:ind w:left="1440" w:hanging="360"/>
      </w:pPr>
      <w:rPr>
        <w:rFonts w:ascii="Arial" w:hAnsi="Arial" w:hint="default"/>
      </w:rPr>
    </w:lvl>
    <w:lvl w:ilvl="2" w:tplc="6BC87350" w:tentative="1">
      <w:start w:val="1"/>
      <w:numFmt w:val="bullet"/>
      <w:lvlText w:val="•"/>
      <w:lvlJc w:val="left"/>
      <w:pPr>
        <w:tabs>
          <w:tab w:val="num" w:pos="2160"/>
        </w:tabs>
        <w:ind w:left="2160" w:hanging="360"/>
      </w:pPr>
      <w:rPr>
        <w:rFonts w:ascii="Arial" w:hAnsi="Arial" w:hint="default"/>
      </w:rPr>
    </w:lvl>
    <w:lvl w:ilvl="3" w:tplc="3678294E" w:tentative="1">
      <w:start w:val="1"/>
      <w:numFmt w:val="bullet"/>
      <w:lvlText w:val="•"/>
      <w:lvlJc w:val="left"/>
      <w:pPr>
        <w:tabs>
          <w:tab w:val="num" w:pos="2880"/>
        </w:tabs>
        <w:ind w:left="2880" w:hanging="360"/>
      </w:pPr>
      <w:rPr>
        <w:rFonts w:ascii="Arial" w:hAnsi="Arial" w:hint="default"/>
      </w:rPr>
    </w:lvl>
    <w:lvl w:ilvl="4" w:tplc="0FA6C5C8" w:tentative="1">
      <w:start w:val="1"/>
      <w:numFmt w:val="bullet"/>
      <w:lvlText w:val="•"/>
      <w:lvlJc w:val="left"/>
      <w:pPr>
        <w:tabs>
          <w:tab w:val="num" w:pos="3600"/>
        </w:tabs>
        <w:ind w:left="3600" w:hanging="360"/>
      </w:pPr>
      <w:rPr>
        <w:rFonts w:ascii="Arial" w:hAnsi="Arial" w:hint="default"/>
      </w:rPr>
    </w:lvl>
    <w:lvl w:ilvl="5" w:tplc="39B2E4B4" w:tentative="1">
      <w:start w:val="1"/>
      <w:numFmt w:val="bullet"/>
      <w:lvlText w:val="•"/>
      <w:lvlJc w:val="left"/>
      <w:pPr>
        <w:tabs>
          <w:tab w:val="num" w:pos="4320"/>
        </w:tabs>
        <w:ind w:left="4320" w:hanging="360"/>
      </w:pPr>
      <w:rPr>
        <w:rFonts w:ascii="Arial" w:hAnsi="Arial" w:hint="default"/>
      </w:rPr>
    </w:lvl>
    <w:lvl w:ilvl="6" w:tplc="6700F920" w:tentative="1">
      <w:start w:val="1"/>
      <w:numFmt w:val="bullet"/>
      <w:lvlText w:val="•"/>
      <w:lvlJc w:val="left"/>
      <w:pPr>
        <w:tabs>
          <w:tab w:val="num" w:pos="5040"/>
        </w:tabs>
        <w:ind w:left="5040" w:hanging="360"/>
      </w:pPr>
      <w:rPr>
        <w:rFonts w:ascii="Arial" w:hAnsi="Arial" w:hint="default"/>
      </w:rPr>
    </w:lvl>
    <w:lvl w:ilvl="7" w:tplc="CD76A0E6" w:tentative="1">
      <w:start w:val="1"/>
      <w:numFmt w:val="bullet"/>
      <w:lvlText w:val="•"/>
      <w:lvlJc w:val="left"/>
      <w:pPr>
        <w:tabs>
          <w:tab w:val="num" w:pos="5760"/>
        </w:tabs>
        <w:ind w:left="5760" w:hanging="360"/>
      </w:pPr>
      <w:rPr>
        <w:rFonts w:ascii="Arial" w:hAnsi="Arial" w:hint="default"/>
      </w:rPr>
    </w:lvl>
    <w:lvl w:ilvl="8" w:tplc="05E0AB5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40125"/>
    <w:rsid w:val="0007613B"/>
    <w:rsid w:val="0008030B"/>
    <w:rsid w:val="000A07CC"/>
    <w:rsid w:val="000D17F5"/>
    <w:rsid w:val="000D1E39"/>
    <w:rsid w:val="000D4238"/>
    <w:rsid w:val="000F123F"/>
    <w:rsid w:val="000F53E1"/>
    <w:rsid w:val="001325A7"/>
    <w:rsid w:val="00144840"/>
    <w:rsid w:val="00155808"/>
    <w:rsid w:val="00156354"/>
    <w:rsid w:val="00160EC9"/>
    <w:rsid w:val="00170EAE"/>
    <w:rsid w:val="001737E2"/>
    <w:rsid w:val="001A3851"/>
    <w:rsid w:val="001B0332"/>
    <w:rsid w:val="001B2411"/>
    <w:rsid w:val="001E7C66"/>
    <w:rsid w:val="001F0E15"/>
    <w:rsid w:val="00220060"/>
    <w:rsid w:val="002901D2"/>
    <w:rsid w:val="002A41D5"/>
    <w:rsid w:val="002A42CA"/>
    <w:rsid w:val="002A72D2"/>
    <w:rsid w:val="002B5172"/>
    <w:rsid w:val="002B6E45"/>
    <w:rsid w:val="002D1655"/>
    <w:rsid w:val="002D1F25"/>
    <w:rsid w:val="002E67E8"/>
    <w:rsid w:val="002F16AB"/>
    <w:rsid w:val="00300AE2"/>
    <w:rsid w:val="003127FC"/>
    <w:rsid w:val="00315B85"/>
    <w:rsid w:val="00335FC9"/>
    <w:rsid w:val="00360569"/>
    <w:rsid w:val="003715B6"/>
    <w:rsid w:val="00384B2B"/>
    <w:rsid w:val="003B0E67"/>
    <w:rsid w:val="003D4D94"/>
    <w:rsid w:val="003D7A2D"/>
    <w:rsid w:val="003E3AEC"/>
    <w:rsid w:val="003E67DD"/>
    <w:rsid w:val="003E6920"/>
    <w:rsid w:val="003F026A"/>
    <w:rsid w:val="003F1A2C"/>
    <w:rsid w:val="003F5DDE"/>
    <w:rsid w:val="004066AF"/>
    <w:rsid w:val="004133A7"/>
    <w:rsid w:val="00417024"/>
    <w:rsid w:val="00417067"/>
    <w:rsid w:val="0043586F"/>
    <w:rsid w:val="00443489"/>
    <w:rsid w:val="00451CE9"/>
    <w:rsid w:val="004546CB"/>
    <w:rsid w:val="004570EE"/>
    <w:rsid w:val="00457101"/>
    <w:rsid w:val="004638CB"/>
    <w:rsid w:val="00477A48"/>
    <w:rsid w:val="00484875"/>
    <w:rsid w:val="00497B69"/>
    <w:rsid w:val="004B06AA"/>
    <w:rsid w:val="004C3290"/>
    <w:rsid w:val="004D3669"/>
    <w:rsid w:val="004E23EB"/>
    <w:rsid w:val="004E2CA8"/>
    <w:rsid w:val="004E3108"/>
    <w:rsid w:val="004E3F48"/>
    <w:rsid w:val="004E55D5"/>
    <w:rsid w:val="004E6F05"/>
    <w:rsid w:val="005003F3"/>
    <w:rsid w:val="00521131"/>
    <w:rsid w:val="005304E1"/>
    <w:rsid w:val="00530835"/>
    <w:rsid w:val="00550A3F"/>
    <w:rsid w:val="00560724"/>
    <w:rsid w:val="0056396D"/>
    <w:rsid w:val="005B381B"/>
    <w:rsid w:val="005C501B"/>
    <w:rsid w:val="005F1789"/>
    <w:rsid w:val="006024C0"/>
    <w:rsid w:val="00663647"/>
    <w:rsid w:val="00665DFB"/>
    <w:rsid w:val="006A17CB"/>
    <w:rsid w:val="006A1970"/>
    <w:rsid w:val="006C72FB"/>
    <w:rsid w:val="006C7CFD"/>
    <w:rsid w:val="006F0152"/>
    <w:rsid w:val="00711593"/>
    <w:rsid w:val="007157A6"/>
    <w:rsid w:val="007176BA"/>
    <w:rsid w:val="00743C7D"/>
    <w:rsid w:val="00761B58"/>
    <w:rsid w:val="007A52C7"/>
    <w:rsid w:val="007C04D3"/>
    <w:rsid w:val="007E0BB4"/>
    <w:rsid w:val="007F5532"/>
    <w:rsid w:val="008102CE"/>
    <w:rsid w:val="00817066"/>
    <w:rsid w:val="00831752"/>
    <w:rsid w:val="008340F1"/>
    <w:rsid w:val="00843CFD"/>
    <w:rsid w:val="0084776B"/>
    <w:rsid w:val="00856B08"/>
    <w:rsid w:val="0087661D"/>
    <w:rsid w:val="00880EA9"/>
    <w:rsid w:val="00895BBD"/>
    <w:rsid w:val="008A3623"/>
    <w:rsid w:val="008C402B"/>
    <w:rsid w:val="008D523C"/>
    <w:rsid w:val="008D6CB4"/>
    <w:rsid w:val="008F4482"/>
    <w:rsid w:val="009061C6"/>
    <w:rsid w:val="00910C0C"/>
    <w:rsid w:val="0091155E"/>
    <w:rsid w:val="00915E53"/>
    <w:rsid w:val="00935903"/>
    <w:rsid w:val="00944848"/>
    <w:rsid w:val="00961F4C"/>
    <w:rsid w:val="009704FC"/>
    <w:rsid w:val="009724CB"/>
    <w:rsid w:val="009A1F05"/>
    <w:rsid w:val="009B6402"/>
    <w:rsid w:val="009C2CF4"/>
    <w:rsid w:val="009C50A4"/>
    <w:rsid w:val="009D5DA0"/>
    <w:rsid w:val="009E4D47"/>
    <w:rsid w:val="009E743B"/>
    <w:rsid w:val="009F4A92"/>
    <w:rsid w:val="009F4D2A"/>
    <w:rsid w:val="00A14E7C"/>
    <w:rsid w:val="00A33335"/>
    <w:rsid w:val="00A4210F"/>
    <w:rsid w:val="00A93AFE"/>
    <w:rsid w:val="00A93B33"/>
    <w:rsid w:val="00A96B37"/>
    <w:rsid w:val="00A9778C"/>
    <w:rsid w:val="00AA5869"/>
    <w:rsid w:val="00AB6B60"/>
    <w:rsid w:val="00AC16B3"/>
    <w:rsid w:val="00AC435F"/>
    <w:rsid w:val="00AE022D"/>
    <w:rsid w:val="00AF3583"/>
    <w:rsid w:val="00AF3EA1"/>
    <w:rsid w:val="00B21198"/>
    <w:rsid w:val="00B34D64"/>
    <w:rsid w:val="00B549AC"/>
    <w:rsid w:val="00B55245"/>
    <w:rsid w:val="00B65083"/>
    <w:rsid w:val="00B74088"/>
    <w:rsid w:val="00B82FA0"/>
    <w:rsid w:val="00B83D84"/>
    <w:rsid w:val="00BA01C3"/>
    <w:rsid w:val="00BA2B34"/>
    <w:rsid w:val="00BB0912"/>
    <w:rsid w:val="00BB4DA7"/>
    <w:rsid w:val="00BE1DF8"/>
    <w:rsid w:val="00C01A30"/>
    <w:rsid w:val="00C1663F"/>
    <w:rsid w:val="00C51876"/>
    <w:rsid w:val="00C51B96"/>
    <w:rsid w:val="00C61210"/>
    <w:rsid w:val="00C70E63"/>
    <w:rsid w:val="00C74903"/>
    <w:rsid w:val="00C80B24"/>
    <w:rsid w:val="00C872F5"/>
    <w:rsid w:val="00CA711C"/>
    <w:rsid w:val="00CB044A"/>
    <w:rsid w:val="00CB0B08"/>
    <w:rsid w:val="00CC649D"/>
    <w:rsid w:val="00CD1EF6"/>
    <w:rsid w:val="00CE729E"/>
    <w:rsid w:val="00D018D5"/>
    <w:rsid w:val="00D1698E"/>
    <w:rsid w:val="00D309E9"/>
    <w:rsid w:val="00D3195E"/>
    <w:rsid w:val="00D4593B"/>
    <w:rsid w:val="00D63C3F"/>
    <w:rsid w:val="00D715A5"/>
    <w:rsid w:val="00D71BD8"/>
    <w:rsid w:val="00D8163C"/>
    <w:rsid w:val="00D84CA8"/>
    <w:rsid w:val="00D86BC6"/>
    <w:rsid w:val="00DA3C3E"/>
    <w:rsid w:val="00DB0C28"/>
    <w:rsid w:val="00DE3600"/>
    <w:rsid w:val="00E349B8"/>
    <w:rsid w:val="00E5145D"/>
    <w:rsid w:val="00E73C56"/>
    <w:rsid w:val="00E745EC"/>
    <w:rsid w:val="00EA2AEA"/>
    <w:rsid w:val="00EA71AD"/>
    <w:rsid w:val="00EB2C91"/>
    <w:rsid w:val="00EC771D"/>
    <w:rsid w:val="00EC7AC9"/>
    <w:rsid w:val="00ED1743"/>
    <w:rsid w:val="00ED4DA6"/>
    <w:rsid w:val="00F12045"/>
    <w:rsid w:val="00F15DD7"/>
    <w:rsid w:val="00F2694C"/>
    <w:rsid w:val="00F26D23"/>
    <w:rsid w:val="00F37429"/>
    <w:rsid w:val="00F769A1"/>
    <w:rsid w:val="00FA4715"/>
    <w:rsid w:val="00FA6633"/>
    <w:rsid w:val="00FB2F68"/>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A3F6"/>
  <w15:docId w15:val="{F7C666D2-78F9-4804-968C-8E0D5DD4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4C0"/>
    <w:pPr>
      <w:spacing w:after="0" w:line="240" w:lineRule="auto"/>
      <w:ind w:left="270"/>
      <w:outlineLvl w:val="0"/>
    </w:pPr>
    <w:rPr>
      <w:b/>
      <w:bCs/>
      <w:sz w:val="32"/>
      <w:szCs w:val="32"/>
    </w:rPr>
  </w:style>
  <w:style w:type="paragraph" w:styleId="Heading2">
    <w:name w:val="heading 2"/>
    <w:basedOn w:val="Normal"/>
    <w:next w:val="Normal"/>
    <w:link w:val="Heading2Char"/>
    <w:uiPriority w:val="9"/>
    <w:unhideWhenUsed/>
    <w:qFormat/>
    <w:rsid w:val="006024C0"/>
    <w:pPr>
      <w:spacing w:after="120" w:line="240" w:lineRule="auto"/>
      <w:ind w:left="274"/>
      <w:outlineLvl w:val="1"/>
    </w:pPr>
    <w:rPr>
      <w:i/>
      <w:iCs/>
      <w:color w:val="0033CC"/>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customStyle="1" w:styleId="Heading1Char">
    <w:name w:val="Heading 1 Char"/>
    <w:basedOn w:val="DefaultParagraphFont"/>
    <w:link w:val="Heading1"/>
    <w:uiPriority w:val="9"/>
    <w:rsid w:val="006024C0"/>
    <w:rPr>
      <w:b/>
      <w:bCs/>
      <w:sz w:val="32"/>
      <w:szCs w:val="32"/>
    </w:rPr>
  </w:style>
  <w:style w:type="character" w:customStyle="1" w:styleId="Heading2Char">
    <w:name w:val="Heading 2 Char"/>
    <w:basedOn w:val="DefaultParagraphFont"/>
    <w:link w:val="Heading2"/>
    <w:uiPriority w:val="9"/>
    <w:rsid w:val="006024C0"/>
    <w:rPr>
      <w:i/>
      <w:iCs/>
      <w:color w:val="0033CC"/>
      <w:sz w:val="32"/>
      <w:szCs w:val="32"/>
    </w:rPr>
  </w:style>
  <w:style w:type="character" w:styleId="Hyperlink">
    <w:name w:val="Hyperlink"/>
    <w:basedOn w:val="DefaultParagraphFont"/>
    <w:uiPriority w:val="99"/>
    <w:unhideWhenUsed/>
    <w:rsid w:val="00C51B96"/>
    <w:rPr>
      <w:color w:val="0563C1"/>
      <w:u w:val="single"/>
    </w:rPr>
  </w:style>
  <w:style w:type="character" w:styleId="UnresolvedMention">
    <w:name w:val="Unresolved Mention"/>
    <w:basedOn w:val="DefaultParagraphFont"/>
    <w:uiPriority w:val="99"/>
    <w:semiHidden/>
    <w:unhideWhenUsed/>
    <w:rsid w:val="009A1F05"/>
    <w:rPr>
      <w:color w:val="605E5C"/>
      <w:shd w:val="clear" w:color="auto" w:fill="E1DFDD"/>
    </w:rPr>
  </w:style>
  <w:style w:type="paragraph" w:styleId="NormalWeb">
    <w:name w:val="Normal (Web)"/>
    <w:basedOn w:val="Normal"/>
    <w:uiPriority w:val="99"/>
    <w:unhideWhenUsed/>
    <w:rsid w:val="00B740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77254">
      <w:bodyDiv w:val="1"/>
      <w:marLeft w:val="0"/>
      <w:marRight w:val="0"/>
      <w:marTop w:val="0"/>
      <w:marBottom w:val="0"/>
      <w:divBdr>
        <w:top w:val="none" w:sz="0" w:space="0" w:color="auto"/>
        <w:left w:val="none" w:sz="0" w:space="0" w:color="auto"/>
        <w:bottom w:val="none" w:sz="0" w:space="0" w:color="auto"/>
        <w:right w:val="none" w:sz="0" w:space="0" w:color="auto"/>
      </w:divBdr>
    </w:div>
    <w:div w:id="532307650">
      <w:bodyDiv w:val="1"/>
      <w:marLeft w:val="0"/>
      <w:marRight w:val="0"/>
      <w:marTop w:val="0"/>
      <w:marBottom w:val="0"/>
      <w:divBdr>
        <w:top w:val="none" w:sz="0" w:space="0" w:color="auto"/>
        <w:left w:val="none" w:sz="0" w:space="0" w:color="auto"/>
        <w:bottom w:val="none" w:sz="0" w:space="0" w:color="auto"/>
        <w:right w:val="none" w:sz="0" w:space="0" w:color="auto"/>
      </w:divBdr>
      <w:divsChild>
        <w:div w:id="1529176752">
          <w:marLeft w:val="360"/>
          <w:marRight w:val="0"/>
          <w:marTop w:val="200"/>
          <w:marBottom w:val="0"/>
          <w:divBdr>
            <w:top w:val="none" w:sz="0" w:space="0" w:color="auto"/>
            <w:left w:val="none" w:sz="0" w:space="0" w:color="auto"/>
            <w:bottom w:val="none" w:sz="0" w:space="0" w:color="auto"/>
            <w:right w:val="none" w:sz="0" w:space="0" w:color="auto"/>
          </w:divBdr>
        </w:div>
      </w:divsChild>
    </w:div>
    <w:div w:id="660163875">
      <w:bodyDiv w:val="1"/>
      <w:marLeft w:val="0"/>
      <w:marRight w:val="0"/>
      <w:marTop w:val="0"/>
      <w:marBottom w:val="0"/>
      <w:divBdr>
        <w:top w:val="none" w:sz="0" w:space="0" w:color="auto"/>
        <w:left w:val="none" w:sz="0" w:space="0" w:color="auto"/>
        <w:bottom w:val="none" w:sz="0" w:space="0" w:color="auto"/>
        <w:right w:val="none" w:sz="0" w:space="0" w:color="auto"/>
      </w:divBdr>
    </w:div>
    <w:div w:id="1079056760">
      <w:bodyDiv w:val="1"/>
      <w:marLeft w:val="0"/>
      <w:marRight w:val="0"/>
      <w:marTop w:val="0"/>
      <w:marBottom w:val="0"/>
      <w:divBdr>
        <w:top w:val="none" w:sz="0" w:space="0" w:color="auto"/>
        <w:left w:val="none" w:sz="0" w:space="0" w:color="auto"/>
        <w:bottom w:val="none" w:sz="0" w:space="0" w:color="auto"/>
        <w:right w:val="none" w:sz="0" w:space="0" w:color="auto"/>
      </w:divBdr>
      <w:divsChild>
        <w:div w:id="214207284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s://clemson.zoom.us/j/5783910968"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82DB9-EA19-4A6C-A73E-EC6525241C93}">
  <ds:schemaRefs>
    <ds:schemaRef ds:uri="http://schemas.microsoft.com/sharepoint/v3/contenttype/forms"/>
  </ds:schemaRefs>
</ds:datastoreItem>
</file>

<file path=customXml/itemProps2.xml><?xml version="1.0" encoding="utf-8"?>
<ds:datastoreItem xmlns:ds="http://schemas.openxmlformats.org/officeDocument/2006/customXml" ds:itemID="{26A200B7-7B12-40C4-B884-FA191931E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F091A-CB87-433D-B399-05C809E97F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8493911-4a07-416d-ab56-65499c9ed38c"/>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01A128D-F0CD-48D5-A0B1-54C1B61A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Lori Leigh Alexander</cp:lastModifiedBy>
  <cp:revision>2</cp:revision>
  <cp:lastPrinted>2019-09-11T12:05:00Z</cp:lastPrinted>
  <dcterms:created xsi:type="dcterms:W3CDTF">2020-11-18T16:07:00Z</dcterms:created>
  <dcterms:modified xsi:type="dcterms:W3CDTF">2020-11-18T16:07:00Z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