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0848D" w14:textId="77777777" w:rsidR="00AA5869" w:rsidRDefault="001737E2" w:rsidP="006C7CFD">
      <w:pPr>
        <w:spacing w:after="0" w:line="240" w:lineRule="auto"/>
        <w:ind w:left="-90" w:firstLine="180"/>
        <w:rPr>
          <w:noProof/>
        </w:rPr>
      </w:pPr>
      <w:r>
        <w:rPr>
          <w:noProof/>
        </w:rPr>
        <mc:AlternateContent>
          <mc:Choice Requires="wps">
            <w:drawing>
              <wp:anchor distT="0" distB="0" distL="114300" distR="114300" simplePos="0" relativeHeight="251659264" behindDoc="0" locked="0" layoutInCell="1" allowOverlap="1" wp14:anchorId="4C890874" wp14:editId="401629D3">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594A259E"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0C920D25"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C890874" id="_x0000_t202" coordsize="21600,21600" o:spt="202" path="m,l,21600r21600,l21600,xe">
                <v:stroke joinstyle="miter"/>
                <v:path gradientshapeok="t" o:connecttype="rect"/>
              </v:shapetype>
              <v:shape id="Text Box 2" o:spid="_x0000_s1026" type="#_x0000_t202" style="position:absolute;left:0;text-align:left;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" fillcolor="#522d80" stroked="f">
                <v:textbox>
                  <w:txbxContent>
                    <w:p w14:paraId="594A259E"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0C920D25"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v:textbox>
              </v:shape>
            </w:pict>
          </mc:Fallback>
        </mc:AlternateContent>
      </w:r>
      <w:r w:rsidR="00935903">
        <w:rPr>
          <w:noProof/>
        </w:rPr>
        <w:drawing>
          <wp:inline distT="0" distB="0" distL="0" distR="0" wp14:anchorId="2D4F5BC5" wp14:editId="58805F6B">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14:paraId="55DA076A" w14:textId="77777777" w:rsidR="006C7CFD" w:rsidRPr="006C7CFD" w:rsidRDefault="006C7CFD" w:rsidP="006C7CFD">
      <w:pPr>
        <w:spacing w:after="0" w:line="240" w:lineRule="auto"/>
        <w:ind w:left="-90" w:firstLine="180"/>
        <w:rPr>
          <w:noProof/>
        </w:rPr>
      </w:pPr>
    </w:p>
    <w:p w14:paraId="4FC47EE7" w14:textId="77777777" w:rsidR="00AA5869" w:rsidRPr="00D3195E" w:rsidRDefault="00AA5869" w:rsidP="00EC7AC9">
      <w:pPr>
        <w:tabs>
          <w:tab w:val="left" w:pos="90"/>
        </w:tabs>
        <w:spacing w:after="0" w:line="240" w:lineRule="auto"/>
        <w:jc w:val="center"/>
        <w:rPr>
          <w:rFonts w:ascii="Verdana" w:eastAsia="Calibri" w:hAnsi="Verdana" w:cs="Times New Roman"/>
          <w:b/>
          <w:color w:val="F66733"/>
        </w:rPr>
      </w:pPr>
    </w:p>
    <w:p w14:paraId="404538D0" w14:textId="4A2658A7" w:rsidR="00220060" w:rsidRPr="003B0E67" w:rsidRDefault="00915E53" w:rsidP="007C559E">
      <w:pPr>
        <w:tabs>
          <w:tab w:val="left" w:pos="90"/>
        </w:tabs>
        <w:spacing w:after="0" w:line="240" w:lineRule="auto"/>
        <w:jc w:val="center"/>
        <w:rPr>
          <w:rFonts w:ascii="Copperplate Gothic Bold" w:eastAsia="Calibri" w:hAnsi="Copperplate Gothic Bold" w:cs="Arial"/>
          <w:color w:val="522D80"/>
          <w:sz w:val="56"/>
          <w:szCs w:val="56"/>
        </w:rPr>
      </w:pPr>
      <w:bookmarkStart w:id="0" w:name="_Hlk18477715"/>
      <w:r w:rsidRPr="003B0E67">
        <w:rPr>
          <w:rFonts w:ascii="Times New Roman" w:eastAsia="Calibri" w:hAnsi="Times New Roman" w:cs="Times New Roman"/>
          <w:color w:val="522D80"/>
          <w:sz w:val="56"/>
          <w:szCs w:val="56"/>
        </w:rPr>
        <w:t>‟</w:t>
      </w:r>
      <w:r w:rsidR="00E3585B">
        <w:rPr>
          <w:rFonts w:ascii="Copperplate Gothic Bold" w:eastAsia="Calibri" w:hAnsi="Copperplate Gothic Bold" w:cs="Times New Roman"/>
          <w:color w:val="522D80"/>
          <w:sz w:val="56"/>
          <w:szCs w:val="56"/>
        </w:rPr>
        <w:t>Improved Approaches for Assessing Natural Attenuation of 1,4-Dioxane</w:t>
      </w:r>
      <w:r w:rsidR="008C402B" w:rsidRPr="003B0E67">
        <w:rPr>
          <w:rFonts w:ascii="Times New Roman" w:eastAsia="Calibri" w:hAnsi="Times New Roman" w:cs="Times New Roman"/>
          <w:color w:val="522D80"/>
          <w:sz w:val="56"/>
          <w:szCs w:val="56"/>
        </w:rPr>
        <w:t>”</w:t>
      </w:r>
    </w:p>
    <w:bookmarkEnd w:id="0"/>
    <w:p w14:paraId="3AA155AF" w14:textId="77777777" w:rsidR="002F16AB" w:rsidRDefault="002F16AB" w:rsidP="00EA71AD">
      <w:pPr>
        <w:tabs>
          <w:tab w:val="left" w:pos="360"/>
        </w:tabs>
        <w:spacing w:after="0" w:line="240" w:lineRule="auto"/>
        <w:rPr>
          <w:rFonts w:ascii="Copperplate Gothic Bold" w:eastAsia="Calibri" w:hAnsi="Copperplate Gothic Bold" w:cs="Times New Roman"/>
          <w:b/>
        </w:rPr>
      </w:pPr>
    </w:p>
    <w:p w14:paraId="5A60F769" w14:textId="4F4199FD" w:rsidR="003B0E67" w:rsidRPr="00D3195E" w:rsidRDefault="003B0E67" w:rsidP="00EA71AD">
      <w:pPr>
        <w:tabs>
          <w:tab w:val="left" w:pos="360"/>
        </w:tabs>
        <w:spacing w:after="0" w:line="240" w:lineRule="auto"/>
        <w:rPr>
          <w:rFonts w:ascii="Copperplate Gothic Bold" w:eastAsia="Calibri" w:hAnsi="Copperplate Gothic Bold" w:cs="Times New Roman"/>
          <w:b/>
        </w:rPr>
      </w:pPr>
    </w:p>
    <w:p w14:paraId="55005301" w14:textId="64C62A9D" w:rsidR="003E3AEC" w:rsidRPr="001F0E15" w:rsidRDefault="00C61210" w:rsidP="001F0E15">
      <w:pPr>
        <w:tabs>
          <w:tab w:val="left" w:pos="2610"/>
        </w:tabs>
        <w:spacing w:after="0" w:line="240" w:lineRule="auto"/>
        <w:jc w:val="center"/>
        <w:rPr>
          <w:rFonts w:ascii="Verdana" w:eastAsia="Calibri" w:hAnsi="Verdana" w:cs="Times New Roman"/>
          <w:b/>
        </w:rPr>
      </w:pPr>
      <w:r w:rsidRPr="001F0E15">
        <w:rPr>
          <w:rFonts w:ascii="Verdana" w:eastAsia="Calibri" w:hAnsi="Verdana" w:cs="Times New Roman"/>
          <w:b/>
        </w:rPr>
        <w:t xml:space="preserve"> </w:t>
      </w:r>
      <w:r w:rsidR="003F1A2C" w:rsidRPr="001F0E15">
        <w:rPr>
          <w:rFonts w:ascii="Verdana" w:eastAsia="Calibri" w:hAnsi="Verdana" w:cs="Times New Roman"/>
          <w:b/>
        </w:rPr>
        <w:t>P</w:t>
      </w:r>
      <w:r w:rsidR="00AF3EA1" w:rsidRPr="001F0E15">
        <w:rPr>
          <w:rFonts w:ascii="Verdana" w:eastAsia="Calibri" w:hAnsi="Verdana" w:cs="Times New Roman"/>
          <w:b/>
        </w:rPr>
        <w:t xml:space="preserve">resented By </w:t>
      </w:r>
    </w:p>
    <w:p w14:paraId="7E01AF86" w14:textId="0A279C44" w:rsidR="00B441ED" w:rsidRDefault="007C559E" w:rsidP="00B200EC">
      <w:pPr>
        <w:tabs>
          <w:tab w:val="left" w:pos="2610"/>
        </w:tabs>
        <w:spacing w:after="0" w:line="240" w:lineRule="auto"/>
        <w:jc w:val="center"/>
        <w:rPr>
          <w:rFonts w:ascii="Verdana" w:eastAsia="Calibri" w:hAnsi="Verdana" w:cs="Times New Roman"/>
          <w:b/>
          <w:sz w:val="36"/>
          <w:szCs w:val="36"/>
        </w:rPr>
      </w:pPr>
      <w:r>
        <w:rPr>
          <w:rFonts w:ascii="Verdana" w:eastAsia="Calibri" w:hAnsi="Verdana" w:cs="Times New Roman"/>
          <w:b/>
          <w:sz w:val="36"/>
          <w:szCs w:val="36"/>
        </w:rPr>
        <w:t>David L. Freedman</w:t>
      </w:r>
      <w:r w:rsidR="00583549">
        <w:rPr>
          <w:rFonts w:ascii="Verdana" w:eastAsia="Calibri" w:hAnsi="Verdana" w:cs="Times New Roman"/>
          <w:b/>
          <w:sz w:val="36"/>
          <w:szCs w:val="36"/>
        </w:rPr>
        <w:t xml:space="preserve">, </w:t>
      </w:r>
      <w:r w:rsidR="00583549" w:rsidRPr="00583549">
        <w:rPr>
          <w:rFonts w:ascii="Verdana" w:eastAsia="Calibri" w:hAnsi="Verdana" w:cs="Times New Roman"/>
          <w:b/>
          <w:sz w:val="36"/>
          <w:szCs w:val="36"/>
        </w:rPr>
        <w:t>Ph.D.</w:t>
      </w:r>
    </w:p>
    <w:p w14:paraId="2CA29952" w14:textId="032AAA8C" w:rsidR="00E13F35" w:rsidRPr="00E13F35" w:rsidRDefault="00E13F35" w:rsidP="00B200EC">
      <w:pPr>
        <w:tabs>
          <w:tab w:val="left" w:pos="2610"/>
        </w:tabs>
        <w:spacing w:after="0" w:line="240" w:lineRule="auto"/>
        <w:jc w:val="center"/>
        <w:rPr>
          <w:rFonts w:ascii="Verdana" w:eastAsia="Calibri" w:hAnsi="Verdana" w:cs="Times New Roman"/>
          <w:b/>
          <w:i/>
          <w:iCs/>
          <w:sz w:val="36"/>
          <w:szCs w:val="36"/>
        </w:rPr>
      </w:pPr>
      <w:r w:rsidRPr="00E13F35">
        <w:rPr>
          <w:rFonts w:ascii="Verdana" w:eastAsia="Calibri" w:hAnsi="Verdana" w:cs="Times New Roman"/>
          <w:b/>
          <w:i/>
          <w:iCs/>
          <w:sz w:val="36"/>
          <w:szCs w:val="36"/>
        </w:rPr>
        <w:t>Professor and Chair, EEES</w:t>
      </w:r>
    </w:p>
    <w:p w14:paraId="1C320C20" w14:textId="6499CB00" w:rsidR="00B441ED" w:rsidRDefault="00B441ED" w:rsidP="001E7C66">
      <w:pPr>
        <w:tabs>
          <w:tab w:val="left" w:pos="2610"/>
        </w:tabs>
        <w:spacing w:after="0" w:line="240" w:lineRule="auto"/>
        <w:ind w:left="270"/>
        <w:jc w:val="both"/>
        <w:rPr>
          <w:rFonts w:ascii="Times New Roman" w:eastAsia="Calibri" w:hAnsi="Times New Roman" w:cs="Times New Roman"/>
          <w:b/>
          <w:sz w:val="28"/>
          <w:szCs w:val="28"/>
        </w:rPr>
      </w:pPr>
    </w:p>
    <w:p w14:paraId="62BDBBAB" w14:textId="4ED135DF" w:rsidR="003A18ED" w:rsidRPr="009B78EA" w:rsidRDefault="00E13F35" w:rsidP="001E7C66">
      <w:pPr>
        <w:tabs>
          <w:tab w:val="left" w:pos="2610"/>
        </w:tabs>
        <w:spacing w:after="0" w:line="240" w:lineRule="auto"/>
        <w:ind w:left="270"/>
        <w:jc w:val="both"/>
        <w:rPr>
          <w:rFonts w:ascii="Times New Roman" w:eastAsia="Calibri" w:hAnsi="Times New Roman" w:cs="Times New Roman"/>
          <w:sz w:val="24"/>
          <w:szCs w:val="24"/>
        </w:rPr>
      </w:pPr>
      <w:r w:rsidRPr="00280A11">
        <w:rPr>
          <w:rFonts w:ascii="Times New Roman" w:eastAsia="Calibri" w:hAnsi="Times New Roman" w:cs="Times New Roman"/>
          <w:b/>
          <w:noProof/>
          <w:sz w:val="24"/>
          <w:szCs w:val="24"/>
        </w:rPr>
        <w:drawing>
          <wp:anchor distT="0" distB="0" distL="114300" distR="114300" simplePos="0" relativeHeight="251662336" behindDoc="0" locked="0" layoutInCell="1" allowOverlap="1" wp14:anchorId="4503E343" wp14:editId="68B26521">
            <wp:simplePos x="0" y="0"/>
            <wp:positionH relativeFrom="column">
              <wp:posOffset>5478145</wp:posOffset>
            </wp:positionH>
            <wp:positionV relativeFrom="paragraph">
              <wp:posOffset>18222</wp:posOffset>
            </wp:positionV>
            <wp:extent cx="1565910" cy="1696085"/>
            <wp:effectExtent l="0" t="0" r="0" b="0"/>
            <wp:wrapSquare wrapText="bothSides"/>
            <wp:docPr id="2050" name="Picture 2" descr="Dr. David L. Free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r. David L. Freedman"/>
                    <pic:cNvPicPr>
                      <a:picLocks noChangeAspect="1" noChangeArrowheads="1"/>
                    </pic:cNvPicPr>
                  </pic:nvPicPr>
                  <pic:blipFill rotWithShape="1">
                    <a:blip r:embed="rId6">
                      <a:extLst>
                        <a:ext uri="{28A0092B-C50C-407E-A947-70E740481C1C}">
                          <a14:useLocalDpi xmlns:a14="http://schemas.microsoft.com/office/drawing/2010/main" val="0"/>
                        </a:ext>
                      </a:extLst>
                    </a:blip>
                    <a:srcRect b="22632"/>
                    <a:stretch/>
                  </pic:blipFill>
                  <pic:spPr bwMode="auto">
                    <a:xfrm>
                      <a:off x="0" y="0"/>
                      <a:ext cx="1565910" cy="1696085"/>
                    </a:xfrm>
                    <a:prstGeom prst="rect">
                      <a:avLst/>
                    </a:prstGeom>
                    <a:noFill/>
                  </pic:spPr>
                </pic:pic>
              </a:graphicData>
            </a:graphic>
            <wp14:sizeRelH relativeFrom="page">
              <wp14:pctWidth>0</wp14:pctWidth>
            </wp14:sizeRelH>
            <wp14:sizeRelV relativeFrom="page">
              <wp14:pctHeight>0</wp14:pctHeight>
            </wp14:sizeRelV>
          </wp:anchor>
        </w:drawing>
      </w:r>
      <w:r w:rsidR="00A96B37" w:rsidRPr="00280A11">
        <w:rPr>
          <w:rFonts w:ascii="Times New Roman" w:eastAsia="Calibri" w:hAnsi="Times New Roman" w:cs="Times New Roman"/>
          <w:b/>
          <w:sz w:val="24"/>
          <w:szCs w:val="24"/>
        </w:rPr>
        <w:t>Abstract</w:t>
      </w:r>
      <w:r w:rsidR="00220060" w:rsidRPr="00280A11">
        <w:rPr>
          <w:rFonts w:ascii="Times New Roman" w:eastAsia="Calibri" w:hAnsi="Times New Roman" w:cs="Times New Roman"/>
          <w:sz w:val="24"/>
          <w:szCs w:val="24"/>
        </w:rPr>
        <w:t>:</w:t>
      </w:r>
      <w:r w:rsidR="00A93B33" w:rsidRPr="00280A11">
        <w:rPr>
          <w:rFonts w:ascii="Times New Roman" w:eastAsia="Calibri" w:hAnsi="Times New Roman" w:cs="Times New Roman"/>
          <w:sz w:val="24"/>
          <w:szCs w:val="24"/>
        </w:rPr>
        <w:t xml:space="preserve">  </w:t>
      </w:r>
      <w:r w:rsidR="00E3585B">
        <w:rPr>
          <w:rFonts w:ascii="Times New Roman" w:eastAsia="Calibri" w:hAnsi="Times New Roman" w:cs="Times New Roman"/>
          <w:sz w:val="24"/>
          <w:szCs w:val="24"/>
        </w:rPr>
        <w:t>Millions of pounds of 1,4-dioxane have been produced in the United States since its first industrial use dating back to 1929</w:t>
      </w:r>
      <w:r w:rsidR="00C33425" w:rsidRPr="00280A11">
        <w:rPr>
          <w:rFonts w:ascii="Times New Roman" w:eastAsia="Calibri" w:hAnsi="Times New Roman" w:cs="Times New Roman"/>
          <w:sz w:val="24"/>
          <w:szCs w:val="24"/>
        </w:rPr>
        <w:t>.</w:t>
      </w:r>
      <w:r w:rsidR="00E3585B">
        <w:rPr>
          <w:rFonts w:ascii="Times New Roman" w:eastAsia="Calibri" w:hAnsi="Times New Roman" w:cs="Times New Roman"/>
          <w:sz w:val="24"/>
          <w:szCs w:val="24"/>
        </w:rPr>
        <w:t xml:space="preserve">  Since the late 1950s, the main use for this compound was as a stabilizer for chlorinated solvents, including 1,1,1-trichloroethane and trichloroethene.  Large amounts of 1,4-dioxane have been released into the environment along with chlorinated solvents, with significant amounts contaminating aquifers at thousands of sites in the United States.  1,4-Dioxane is resistant to chemical, physical, and biological degradation and tends to persist in the environment.  The cost for active remediation is substantial</w:t>
      </w:r>
      <w:r w:rsidR="00582034">
        <w:rPr>
          <w:rFonts w:ascii="Times New Roman" w:eastAsia="Calibri" w:hAnsi="Times New Roman" w:cs="Times New Roman"/>
          <w:sz w:val="24"/>
          <w:szCs w:val="24"/>
        </w:rPr>
        <w:t xml:space="preserve"> and</w:t>
      </w:r>
      <w:r w:rsidR="00E3585B">
        <w:rPr>
          <w:rFonts w:ascii="Times New Roman" w:eastAsia="Calibri" w:hAnsi="Times New Roman" w:cs="Times New Roman"/>
          <w:sz w:val="24"/>
          <w:szCs w:val="24"/>
        </w:rPr>
        <w:t xml:space="preserve"> is driven by increasingly stringent concerns over human health effects.  On-going monitoring of aquifers contaminated with 1,4-dioxane suggest that many plumes are undergoing natural attenuation.  However, documenting this process has been challenging.  </w:t>
      </w:r>
      <w:r w:rsidR="009B78EA">
        <w:rPr>
          <w:rFonts w:ascii="Times New Roman" w:eastAsia="Calibri" w:hAnsi="Times New Roman" w:cs="Times New Roman"/>
          <w:sz w:val="24"/>
          <w:szCs w:val="24"/>
        </w:rPr>
        <w:t xml:space="preserve">This presentation will review the application of several approaches to documenting natural attenuation, following the EPA lines of evidence approach.  This includes estimation of plume attenuation based on groundwater monitoring data, compound specific isotope analysis based on enrichment in </w:t>
      </w:r>
      <w:r w:rsidR="009B78EA" w:rsidRPr="009B78EA">
        <w:rPr>
          <w:rFonts w:ascii="Times New Roman" w:eastAsia="Calibri" w:hAnsi="Times New Roman" w:cs="Times New Roman"/>
          <w:sz w:val="24"/>
          <w:szCs w:val="24"/>
          <w:vertAlign w:val="superscript"/>
        </w:rPr>
        <w:t>2</w:t>
      </w:r>
      <w:r w:rsidR="009B78EA">
        <w:rPr>
          <w:rFonts w:ascii="Times New Roman" w:eastAsia="Calibri" w:hAnsi="Times New Roman" w:cs="Times New Roman"/>
          <w:sz w:val="24"/>
          <w:szCs w:val="24"/>
        </w:rPr>
        <w:t xml:space="preserve">H and </w:t>
      </w:r>
      <w:r w:rsidR="009B78EA" w:rsidRPr="009B78EA">
        <w:rPr>
          <w:rFonts w:ascii="Times New Roman" w:eastAsia="Calibri" w:hAnsi="Times New Roman" w:cs="Times New Roman"/>
          <w:sz w:val="24"/>
          <w:szCs w:val="24"/>
          <w:vertAlign w:val="superscript"/>
        </w:rPr>
        <w:t>13</w:t>
      </w:r>
      <w:r w:rsidR="009B78EA">
        <w:rPr>
          <w:rFonts w:ascii="Times New Roman" w:eastAsia="Calibri" w:hAnsi="Times New Roman" w:cs="Times New Roman"/>
          <w:sz w:val="24"/>
          <w:szCs w:val="24"/>
        </w:rPr>
        <w:t xml:space="preserve">C, </w:t>
      </w:r>
      <w:r w:rsidR="00582034">
        <w:rPr>
          <w:rFonts w:ascii="Times New Roman" w:eastAsia="Calibri" w:hAnsi="Times New Roman" w:cs="Times New Roman"/>
          <w:sz w:val="24"/>
          <w:szCs w:val="24"/>
        </w:rPr>
        <w:t xml:space="preserve">the presence of biomarkers that are specific for biodegradation of 1,4-dioxane, </w:t>
      </w:r>
      <w:r w:rsidR="009B78EA">
        <w:rPr>
          <w:rFonts w:ascii="Times New Roman" w:eastAsia="Calibri" w:hAnsi="Times New Roman" w:cs="Times New Roman"/>
          <w:sz w:val="24"/>
          <w:szCs w:val="24"/>
        </w:rPr>
        <w:t xml:space="preserve">analysis of geochemical conditions that are favorable to biotic </w:t>
      </w:r>
      <w:proofErr w:type="gramStart"/>
      <w:r w:rsidR="009B78EA">
        <w:rPr>
          <w:rFonts w:ascii="Times New Roman" w:eastAsia="Calibri" w:hAnsi="Times New Roman" w:cs="Times New Roman"/>
          <w:sz w:val="24"/>
          <w:szCs w:val="24"/>
        </w:rPr>
        <w:t>degradation, and</w:t>
      </w:r>
      <w:proofErr w:type="gramEnd"/>
      <w:r w:rsidR="009B78EA">
        <w:rPr>
          <w:rFonts w:ascii="Times New Roman" w:eastAsia="Calibri" w:hAnsi="Times New Roman" w:cs="Times New Roman"/>
          <w:sz w:val="24"/>
          <w:szCs w:val="24"/>
        </w:rPr>
        <w:t xml:space="preserve"> use of a novel assay to measure biodegradation rates in the laboratory using </w:t>
      </w:r>
      <w:r w:rsidR="009B78EA">
        <w:rPr>
          <w:rFonts w:ascii="Times New Roman" w:eastAsia="Calibri" w:hAnsi="Times New Roman" w:cs="Times New Roman"/>
          <w:sz w:val="24"/>
          <w:szCs w:val="24"/>
          <w:vertAlign w:val="superscript"/>
        </w:rPr>
        <w:t>14</w:t>
      </w:r>
      <w:r w:rsidR="009B78EA">
        <w:rPr>
          <w:rFonts w:ascii="Times New Roman" w:eastAsia="Calibri" w:hAnsi="Times New Roman" w:cs="Times New Roman"/>
          <w:sz w:val="24"/>
          <w:szCs w:val="24"/>
        </w:rPr>
        <w:t xml:space="preserve">C-labeled 1,4-dioxane.  The multiple lines of evidence approach </w:t>
      </w:r>
      <w:proofErr w:type="gramStart"/>
      <w:r w:rsidR="009B78EA">
        <w:rPr>
          <w:rFonts w:ascii="Times New Roman" w:eastAsia="Calibri" w:hAnsi="Times New Roman" w:cs="Times New Roman"/>
          <w:sz w:val="24"/>
          <w:szCs w:val="24"/>
        </w:rPr>
        <w:t>was</w:t>
      </w:r>
      <w:proofErr w:type="gramEnd"/>
      <w:r w:rsidR="009B78EA">
        <w:rPr>
          <w:rFonts w:ascii="Times New Roman" w:eastAsia="Calibri" w:hAnsi="Times New Roman" w:cs="Times New Roman"/>
          <w:sz w:val="24"/>
          <w:szCs w:val="24"/>
        </w:rPr>
        <w:t xml:space="preserve"> assessed with groundwater samples from multiple wells at 10 sites around the county.   </w:t>
      </w:r>
    </w:p>
    <w:p w14:paraId="4EDD6362" w14:textId="77777777" w:rsidR="003A18ED" w:rsidRPr="00280A11" w:rsidRDefault="003A18ED" w:rsidP="001E7C66">
      <w:pPr>
        <w:tabs>
          <w:tab w:val="left" w:pos="2610"/>
        </w:tabs>
        <w:spacing w:after="0" w:line="240" w:lineRule="auto"/>
        <w:ind w:left="270"/>
        <w:jc w:val="both"/>
        <w:rPr>
          <w:rFonts w:ascii="Times New Roman" w:eastAsia="Calibri" w:hAnsi="Times New Roman" w:cs="Times New Roman"/>
          <w:sz w:val="24"/>
          <w:szCs w:val="24"/>
        </w:rPr>
      </w:pPr>
    </w:p>
    <w:p w14:paraId="1EB623D3" w14:textId="0599556B" w:rsidR="001A3851" w:rsidRPr="00280A11" w:rsidRDefault="00582034" w:rsidP="005671DC">
      <w:pPr>
        <w:tabs>
          <w:tab w:val="left" w:pos="2610"/>
        </w:tabs>
        <w:spacing w:after="0" w:line="240" w:lineRule="auto"/>
        <w:ind w:left="270"/>
        <w:jc w:val="both"/>
        <w:rPr>
          <w:rFonts w:ascii="Times New Roman" w:eastAsia="Calibri" w:hAnsi="Times New Roman" w:cs="Times New Roman"/>
          <w:b/>
          <w:i/>
          <w:sz w:val="24"/>
          <w:szCs w:val="24"/>
        </w:rPr>
      </w:pPr>
      <w:r w:rsidRPr="00582034">
        <w:rPr>
          <w:rFonts w:ascii="Times New Roman" w:eastAsia="Calibri" w:hAnsi="Times New Roman" w:cs="Times New Roman"/>
          <w:sz w:val="24"/>
          <w:szCs w:val="24"/>
        </w:rPr>
        <w:t>Site-wide rate constants were established using a calibrated fate and transport model at 8 sites (median = 0.07 yr</w:t>
      </w:r>
      <w:r>
        <w:rPr>
          <w:rFonts w:ascii="Times New Roman" w:eastAsia="Calibri" w:hAnsi="Times New Roman" w:cs="Times New Roman"/>
          <w:sz w:val="24"/>
          <w:szCs w:val="24"/>
          <w:vertAlign w:val="superscript"/>
        </w:rPr>
        <w:noBreakHyphen/>
      </w:r>
      <w:r w:rsidRPr="00582034">
        <w:rPr>
          <w:rFonts w:ascii="Times New Roman" w:eastAsia="Calibri" w:hAnsi="Times New Roman" w:cs="Times New Roman"/>
          <w:sz w:val="24"/>
          <w:szCs w:val="24"/>
          <w:vertAlign w:val="superscript"/>
        </w:rPr>
        <w:t>1</w:t>
      </w:r>
      <w:r w:rsidRPr="00582034">
        <w:rPr>
          <w:rFonts w:ascii="Times New Roman" w:eastAsia="Calibri" w:hAnsi="Times New Roman" w:cs="Times New Roman"/>
          <w:sz w:val="24"/>
          <w:szCs w:val="24"/>
        </w:rPr>
        <w:t xml:space="preserve">). The </w:t>
      </w:r>
      <w:r w:rsidRPr="00582034">
        <w:rPr>
          <w:rFonts w:ascii="Times New Roman" w:eastAsia="Calibri" w:hAnsi="Times New Roman" w:cs="Times New Roman"/>
          <w:sz w:val="24"/>
          <w:szCs w:val="24"/>
          <w:vertAlign w:val="superscript"/>
        </w:rPr>
        <w:t>14</w:t>
      </w:r>
      <w:r w:rsidRPr="00582034">
        <w:rPr>
          <w:rFonts w:ascii="Times New Roman" w:eastAsia="Calibri" w:hAnsi="Times New Roman" w:cs="Times New Roman"/>
          <w:sz w:val="24"/>
          <w:szCs w:val="24"/>
        </w:rPr>
        <w:t>C-1,4-dioxane assay confirmed 1,4-dioxane degradation capacity at 9 of 10 sites, with a median rate constant of constant of 0.0137 yr</w:t>
      </w:r>
      <w:r w:rsidRPr="00582034">
        <w:rPr>
          <w:rFonts w:ascii="Times New Roman" w:eastAsia="Calibri" w:hAnsi="Times New Roman" w:cs="Times New Roman"/>
          <w:sz w:val="24"/>
          <w:szCs w:val="24"/>
          <w:vertAlign w:val="superscript"/>
        </w:rPr>
        <w:t>-1</w:t>
      </w:r>
      <w:r w:rsidRPr="0058203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82034">
        <w:rPr>
          <w:rFonts w:ascii="Times New Roman" w:eastAsia="Calibri" w:hAnsi="Times New Roman" w:cs="Times New Roman"/>
          <w:sz w:val="24"/>
          <w:szCs w:val="24"/>
        </w:rPr>
        <w:t xml:space="preserve">The constants from the </w:t>
      </w:r>
      <w:r w:rsidRPr="00582034">
        <w:rPr>
          <w:rFonts w:ascii="Times New Roman" w:eastAsia="Calibri" w:hAnsi="Times New Roman" w:cs="Times New Roman"/>
          <w:sz w:val="24"/>
          <w:szCs w:val="24"/>
          <w:vertAlign w:val="superscript"/>
        </w:rPr>
        <w:t>14</w:t>
      </w:r>
      <w:r w:rsidRPr="00582034">
        <w:rPr>
          <w:rFonts w:ascii="Times New Roman" w:eastAsia="Calibri" w:hAnsi="Times New Roman" w:cs="Times New Roman"/>
          <w:sz w:val="24"/>
          <w:szCs w:val="24"/>
        </w:rPr>
        <w:t xml:space="preserve">C assay are likely more conservative and variability in rates suggested that biodegradation capacity at sites may be localized. Stable isotope fractionation was observed at 7 of 10 sites and served as another direct line of evidence of in situ biodegradation of 1,4-dioxane. This includes sites where indirect lines of evidence, including geochemical conditions or genetic biomarkers for degradation, would not necessarily have been supportive. </w:t>
      </w:r>
      <w:r w:rsidR="00FB7E5E">
        <w:rPr>
          <w:rFonts w:ascii="Times New Roman" w:eastAsia="Calibri" w:hAnsi="Times New Roman" w:cs="Times New Roman"/>
          <w:sz w:val="24"/>
          <w:szCs w:val="24"/>
        </w:rPr>
        <w:t>These outcomes</w:t>
      </w:r>
      <w:r w:rsidRPr="00582034">
        <w:rPr>
          <w:rFonts w:ascii="Times New Roman" w:eastAsia="Calibri" w:hAnsi="Times New Roman" w:cs="Times New Roman"/>
          <w:sz w:val="24"/>
          <w:szCs w:val="24"/>
        </w:rPr>
        <w:t xml:space="preserve"> highlight the importance of collecting multiple lines of evidence to document 1,4-dioxane natural attenuation, and the widespread prevalence of biodegradation suggests that this process should be part of long-term management decisions.</w:t>
      </w:r>
      <w:r w:rsidR="00595027" w:rsidRPr="00280A11">
        <w:rPr>
          <w:rFonts w:ascii="Times New Roman" w:eastAsia="Calibri" w:hAnsi="Times New Roman" w:cs="Times New Roman"/>
          <w:sz w:val="24"/>
          <w:szCs w:val="24"/>
        </w:rPr>
        <w:t xml:space="preserve">  </w:t>
      </w:r>
      <w:r w:rsidR="00C83289" w:rsidRPr="00280A11">
        <w:rPr>
          <w:rFonts w:ascii="Times New Roman" w:eastAsia="Calibri" w:hAnsi="Times New Roman" w:cs="Times New Roman"/>
          <w:b/>
          <w:i/>
          <w:sz w:val="24"/>
          <w:szCs w:val="24"/>
        </w:rPr>
        <w:t xml:space="preserve"> </w:t>
      </w:r>
    </w:p>
    <w:p w14:paraId="65827E8E" w14:textId="5A3DF895" w:rsidR="00280A11" w:rsidRPr="00280A11" w:rsidRDefault="00280A11" w:rsidP="005671DC">
      <w:pPr>
        <w:tabs>
          <w:tab w:val="left" w:pos="2610"/>
        </w:tabs>
        <w:spacing w:after="0" w:line="240" w:lineRule="auto"/>
        <w:ind w:left="270"/>
        <w:jc w:val="both"/>
        <w:rPr>
          <w:rFonts w:ascii="Times New Roman" w:eastAsia="Calibri" w:hAnsi="Times New Roman" w:cs="Times New Roman"/>
          <w:b/>
          <w:i/>
          <w:sz w:val="24"/>
          <w:szCs w:val="24"/>
        </w:rPr>
      </w:pPr>
    </w:p>
    <w:p w14:paraId="102CD8B0" w14:textId="41F2EA0D" w:rsidR="00FB7E5E" w:rsidRDefault="00280A11" w:rsidP="005671DC">
      <w:pPr>
        <w:tabs>
          <w:tab w:val="left" w:pos="2610"/>
        </w:tabs>
        <w:spacing w:after="0" w:line="240" w:lineRule="auto"/>
        <w:ind w:left="270"/>
        <w:jc w:val="both"/>
        <w:rPr>
          <w:rFonts w:ascii="Times New Roman" w:eastAsia="Calibri" w:hAnsi="Times New Roman" w:cs="Times New Roman"/>
          <w:b/>
          <w:iCs/>
          <w:sz w:val="24"/>
          <w:szCs w:val="24"/>
        </w:rPr>
      </w:pPr>
      <w:r w:rsidRPr="00280A11">
        <w:rPr>
          <w:rFonts w:ascii="Times New Roman" w:eastAsia="Calibri" w:hAnsi="Times New Roman" w:cs="Times New Roman"/>
          <w:b/>
          <w:iCs/>
          <w:sz w:val="24"/>
          <w:szCs w:val="24"/>
        </w:rPr>
        <w:t xml:space="preserve">Bio:  </w:t>
      </w:r>
      <w:r>
        <w:rPr>
          <w:rFonts w:ascii="Times New Roman" w:eastAsia="Calibri" w:hAnsi="Times New Roman" w:cs="Times New Roman"/>
          <w:bCs/>
          <w:iCs/>
          <w:sz w:val="24"/>
          <w:szCs w:val="24"/>
        </w:rPr>
        <w:t>Dr.</w:t>
      </w:r>
      <w:r w:rsidRPr="00280A11">
        <w:rPr>
          <w:rFonts w:ascii="Times New Roman" w:eastAsia="Calibri" w:hAnsi="Times New Roman" w:cs="Times New Roman"/>
          <w:bCs/>
          <w:iCs/>
          <w:sz w:val="24"/>
          <w:szCs w:val="24"/>
        </w:rPr>
        <w:t xml:space="preserve"> Freedman is a professor and Chair of the Department of Environmental Engineering and Earth Sciences at Clemson University.  He received a B.S. degree in Environmental Sciences from the University of Wisconsin-Green Bay, an M.S. in Environmental Engineering from the University of Cincinnati, and a Ph.D. in Environmental Engineering from Cornell University.  Dr. Freedman served as a post-doctoral fellow at Cornell University on a project funded by the American College of Toxicology.</w:t>
      </w:r>
      <w:r w:rsidR="00582034">
        <w:rPr>
          <w:rFonts w:ascii="Times New Roman" w:eastAsia="Calibri" w:hAnsi="Times New Roman" w:cs="Times New Roman"/>
          <w:bCs/>
          <w:iCs/>
          <w:sz w:val="24"/>
          <w:szCs w:val="24"/>
        </w:rPr>
        <w:t xml:space="preserve">  His first academic position was at the University of Illinois at Urbana-Champaign.  He moved to Clemson University in 1996.</w:t>
      </w:r>
      <w:r w:rsidRPr="00280A11">
        <w:rPr>
          <w:rFonts w:ascii="Times New Roman" w:eastAsia="Calibri" w:hAnsi="Times New Roman" w:cs="Times New Roman"/>
          <w:bCs/>
          <w:iCs/>
          <w:sz w:val="24"/>
          <w:szCs w:val="24"/>
        </w:rPr>
        <w:t xml:space="preserve">  Throughout his academic career, Dr. Freedman has performed research on anaerobic reductive dechlorination and anaerobic and aerobic oxidation processes for chlorinated aliphatic compounds and other emerging contaminants, including 1,4-dioxane.  Dr. Freedman has received research support from SERDP, ESTCP, EPA, US DOE, US Army Construction Engineering Research Laboratory, US Air Force Office of Scientific Research, Westinghouse Savannah River Corporation, Battelle, and numerous consulting firms.  He is currently leading a project on wastewater surveillance for SARS-CoV-2 in three sewersheds in the Clemson, SC area.</w:t>
      </w:r>
      <w:r w:rsidRPr="00280A11">
        <w:rPr>
          <w:rFonts w:ascii="Times New Roman" w:eastAsia="Calibri" w:hAnsi="Times New Roman" w:cs="Times New Roman"/>
          <w:b/>
          <w:iCs/>
          <w:sz w:val="24"/>
          <w:szCs w:val="24"/>
        </w:rPr>
        <w:t xml:space="preserve"> </w:t>
      </w:r>
    </w:p>
    <w:p w14:paraId="1F09BCF5" w14:textId="77777777" w:rsidR="00FB7E5E" w:rsidRDefault="00FB7E5E" w:rsidP="005671DC">
      <w:pPr>
        <w:tabs>
          <w:tab w:val="left" w:pos="2610"/>
        </w:tabs>
        <w:spacing w:after="0" w:line="240" w:lineRule="auto"/>
        <w:ind w:left="270"/>
        <w:jc w:val="both"/>
        <w:rPr>
          <w:rFonts w:ascii="Times New Roman" w:eastAsia="Calibri" w:hAnsi="Times New Roman" w:cs="Times New Roman"/>
          <w:b/>
          <w:iCs/>
          <w:sz w:val="24"/>
          <w:szCs w:val="24"/>
        </w:rPr>
      </w:pPr>
    </w:p>
    <w:p w14:paraId="3E7494A9" w14:textId="60CB05F6" w:rsidR="00FB7E5E" w:rsidRPr="00FB7E5E" w:rsidRDefault="00FB7E5E" w:rsidP="00FB7E5E">
      <w:pPr>
        <w:spacing w:after="100" w:afterAutospacing="1"/>
        <w:jc w:val="center"/>
        <w:rPr>
          <w:b/>
          <w:i/>
          <w:iCs/>
          <w:color w:val="0033CC"/>
          <w:sz w:val="44"/>
          <w:szCs w:val="44"/>
        </w:rPr>
      </w:pPr>
      <w:r w:rsidRPr="00FB7E5E">
        <w:rPr>
          <w:b/>
          <w:i/>
          <w:iCs/>
          <w:color w:val="0033CC"/>
          <w:sz w:val="36"/>
          <w:szCs w:val="36"/>
        </w:rPr>
        <w:t xml:space="preserve">Friday, September 3, </w:t>
      </w:r>
      <w:proofErr w:type="gramStart"/>
      <w:r w:rsidRPr="00FB7E5E">
        <w:rPr>
          <w:b/>
          <w:i/>
          <w:iCs/>
          <w:color w:val="0033CC"/>
          <w:sz w:val="36"/>
          <w:szCs w:val="36"/>
        </w:rPr>
        <w:t>2021  at</w:t>
      </w:r>
      <w:proofErr w:type="gramEnd"/>
      <w:r w:rsidRPr="00FB7E5E">
        <w:rPr>
          <w:b/>
          <w:i/>
          <w:iCs/>
          <w:color w:val="0033CC"/>
          <w:sz w:val="36"/>
          <w:szCs w:val="36"/>
        </w:rPr>
        <w:t xml:space="preserve"> 2:30 pm</w:t>
      </w:r>
      <w:r w:rsidRPr="00FB7E5E">
        <w:rPr>
          <w:b/>
          <w:i/>
          <w:iCs/>
          <w:color w:val="0033CC"/>
          <w:sz w:val="36"/>
          <w:szCs w:val="36"/>
        </w:rPr>
        <w:tab/>
      </w:r>
    </w:p>
    <w:p w14:paraId="1977E34D" w14:textId="77777777" w:rsidR="00FB7E5E" w:rsidRDefault="00FB7E5E" w:rsidP="00FB7E5E">
      <w:pPr>
        <w:spacing w:after="0" w:line="240" w:lineRule="auto"/>
        <w:jc w:val="center"/>
        <w:rPr>
          <w:b/>
          <w:sz w:val="36"/>
          <w:szCs w:val="36"/>
        </w:rPr>
      </w:pPr>
      <w:r>
        <w:rPr>
          <w:b/>
          <w:sz w:val="36"/>
          <w:szCs w:val="36"/>
        </w:rPr>
        <w:t>Rich Lab Auditorium and Online via Zoom</w:t>
      </w:r>
    </w:p>
    <w:p w14:paraId="2757B486" w14:textId="77777777" w:rsidR="00FB7E5E" w:rsidRDefault="00FB7E5E" w:rsidP="00FB7E5E">
      <w:pPr>
        <w:spacing w:after="0" w:line="240" w:lineRule="auto"/>
        <w:jc w:val="center"/>
        <w:rPr>
          <w:b/>
          <w:sz w:val="36"/>
          <w:szCs w:val="36"/>
        </w:rPr>
      </w:pPr>
    </w:p>
    <w:p w14:paraId="167654A8" w14:textId="48FD8C0F" w:rsidR="00280A11" w:rsidRPr="00FB7E5E" w:rsidRDefault="00FB7E5E" w:rsidP="00FB7E5E">
      <w:pPr>
        <w:spacing w:after="0" w:line="240" w:lineRule="auto"/>
        <w:jc w:val="center"/>
        <w:rPr>
          <w:b/>
          <w:bCs/>
          <w:i/>
          <w:iCs/>
          <w:color w:val="F66733"/>
          <w:sz w:val="26"/>
          <w:szCs w:val="26"/>
        </w:rPr>
      </w:pPr>
      <w:r w:rsidRPr="00007F3D">
        <w:rPr>
          <w:b/>
          <w:bCs/>
          <w:i/>
          <w:iCs/>
          <w:color w:val="F66733"/>
          <w:sz w:val="26"/>
          <w:szCs w:val="26"/>
        </w:rPr>
        <w:t>Attendance is mandatory for graduate students enrolled in EES 8610, EES 9610, and GEOL 8510</w:t>
      </w:r>
      <w:r w:rsidR="00280A11" w:rsidRPr="00280A11">
        <w:rPr>
          <w:rFonts w:ascii="Times New Roman" w:eastAsia="Calibri" w:hAnsi="Times New Roman" w:cs="Times New Roman"/>
          <w:b/>
          <w:iCs/>
          <w:sz w:val="24"/>
          <w:szCs w:val="24"/>
        </w:rPr>
        <w:t xml:space="preserve"> </w:t>
      </w:r>
    </w:p>
    <w:sectPr w:rsidR="00280A11" w:rsidRPr="00FB7E5E" w:rsidSect="006C7CFD">
      <w:pgSz w:w="12240" w:h="20160" w:code="5"/>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48"/>
    <w:rsid w:val="00040125"/>
    <w:rsid w:val="0007613B"/>
    <w:rsid w:val="0008030B"/>
    <w:rsid w:val="000D17F5"/>
    <w:rsid w:val="000D1E39"/>
    <w:rsid w:val="000D4238"/>
    <w:rsid w:val="000F123F"/>
    <w:rsid w:val="000F53E1"/>
    <w:rsid w:val="000F6D1E"/>
    <w:rsid w:val="00103097"/>
    <w:rsid w:val="001325A7"/>
    <w:rsid w:val="00144840"/>
    <w:rsid w:val="00155808"/>
    <w:rsid w:val="00156354"/>
    <w:rsid w:val="00160EC9"/>
    <w:rsid w:val="00170EAE"/>
    <w:rsid w:val="001737E2"/>
    <w:rsid w:val="001A3851"/>
    <w:rsid w:val="001B0332"/>
    <w:rsid w:val="001B2411"/>
    <w:rsid w:val="001E1929"/>
    <w:rsid w:val="001E7C66"/>
    <w:rsid w:val="001F0E15"/>
    <w:rsid w:val="00220060"/>
    <w:rsid w:val="00254C70"/>
    <w:rsid w:val="00280A11"/>
    <w:rsid w:val="002A41D5"/>
    <w:rsid w:val="002A42CA"/>
    <w:rsid w:val="002A72D2"/>
    <w:rsid w:val="002D1655"/>
    <w:rsid w:val="002D1F25"/>
    <w:rsid w:val="002E67E8"/>
    <w:rsid w:val="002F16AB"/>
    <w:rsid w:val="00300AE2"/>
    <w:rsid w:val="003127FC"/>
    <w:rsid w:val="00315B85"/>
    <w:rsid w:val="00335FC9"/>
    <w:rsid w:val="00360569"/>
    <w:rsid w:val="00384B2B"/>
    <w:rsid w:val="003A18ED"/>
    <w:rsid w:val="003B0E67"/>
    <w:rsid w:val="003D7A2D"/>
    <w:rsid w:val="003E3AEC"/>
    <w:rsid w:val="003E6920"/>
    <w:rsid w:val="003F026A"/>
    <w:rsid w:val="003F1A2C"/>
    <w:rsid w:val="003F5DDE"/>
    <w:rsid w:val="004066AF"/>
    <w:rsid w:val="004133A7"/>
    <w:rsid w:val="00417067"/>
    <w:rsid w:val="0043586F"/>
    <w:rsid w:val="00443489"/>
    <w:rsid w:val="00451CE9"/>
    <w:rsid w:val="004546CB"/>
    <w:rsid w:val="004570EE"/>
    <w:rsid w:val="00457101"/>
    <w:rsid w:val="004638CB"/>
    <w:rsid w:val="00477A48"/>
    <w:rsid w:val="00484875"/>
    <w:rsid w:val="00497B69"/>
    <w:rsid w:val="004B06AA"/>
    <w:rsid w:val="004C3290"/>
    <w:rsid w:val="004D3669"/>
    <w:rsid w:val="004E23EB"/>
    <w:rsid w:val="004E2CA8"/>
    <w:rsid w:val="004E3108"/>
    <w:rsid w:val="004E3F48"/>
    <w:rsid w:val="004E55D5"/>
    <w:rsid w:val="004E6F05"/>
    <w:rsid w:val="005003F3"/>
    <w:rsid w:val="00521131"/>
    <w:rsid w:val="005304E1"/>
    <w:rsid w:val="00530835"/>
    <w:rsid w:val="00550A3F"/>
    <w:rsid w:val="00560724"/>
    <w:rsid w:val="0056396D"/>
    <w:rsid w:val="005671DC"/>
    <w:rsid w:val="00576A66"/>
    <w:rsid w:val="00582034"/>
    <w:rsid w:val="00583549"/>
    <w:rsid w:val="00595027"/>
    <w:rsid w:val="005B381B"/>
    <w:rsid w:val="005C501B"/>
    <w:rsid w:val="005F1789"/>
    <w:rsid w:val="00665DFB"/>
    <w:rsid w:val="006A17CB"/>
    <w:rsid w:val="006A1970"/>
    <w:rsid w:val="006C72FB"/>
    <w:rsid w:val="006C7CFD"/>
    <w:rsid w:val="006F0152"/>
    <w:rsid w:val="007176BA"/>
    <w:rsid w:val="00743C7D"/>
    <w:rsid w:val="007A52C7"/>
    <w:rsid w:val="007C04D3"/>
    <w:rsid w:val="007C559E"/>
    <w:rsid w:val="007E0BB4"/>
    <w:rsid w:val="008102CE"/>
    <w:rsid w:val="00817066"/>
    <w:rsid w:val="00831752"/>
    <w:rsid w:val="008340F1"/>
    <w:rsid w:val="00843CFD"/>
    <w:rsid w:val="0084776B"/>
    <w:rsid w:val="00856B08"/>
    <w:rsid w:val="0087661D"/>
    <w:rsid w:val="00880EA9"/>
    <w:rsid w:val="00895BBD"/>
    <w:rsid w:val="008A3623"/>
    <w:rsid w:val="008C402B"/>
    <w:rsid w:val="008D523C"/>
    <w:rsid w:val="008D6CB4"/>
    <w:rsid w:val="008F4482"/>
    <w:rsid w:val="009061C6"/>
    <w:rsid w:val="00910C0C"/>
    <w:rsid w:val="0091155E"/>
    <w:rsid w:val="00915E53"/>
    <w:rsid w:val="00935903"/>
    <w:rsid w:val="00944848"/>
    <w:rsid w:val="00961F4C"/>
    <w:rsid w:val="009724CB"/>
    <w:rsid w:val="009B6402"/>
    <w:rsid w:val="009B78EA"/>
    <w:rsid w:val="009C2CF4"/>
    <w:rsid w:val="009D1229"/>
    <w:rsid w:val="009E743B"/>
    <w:rsid w:val="009F3D2A"/>
    <w:rsid w:val="009F4A92"/>
    <w:rsid w:val="009F4D2A"/>
    <w:rsid w:val="00A14E7C"/>
    <w:rsid w:val="00A33335"/>
    <w:rsid w:val="00A93AFE"/>
    <w:rsid w:val="00A93B33"/>
    <w:rsid w:val="00A96B37"/>
    <w:rsid w:val="00A9778C"/>
    <w:rsid w:val="00AA5869"/>
    <w:rsid w:val="00AB6B60"/>
    <w:rsid w:val="00AC16B3"/>
    <w:rsid w:val="00AE022D"/>
    <w:rsid w:val="00AF3583"/>
    <w:rsid w:val="00AF3EA1"/>
    <w:rsid w:val="00B200EC"/>
    <w:rsid w:val="00B21198"/>
    <w:rsid w:val="00B441ED"/>
    <w:rsid w:val="00B549AC"/>
    <w:rsid w:val="00B55245"/>
    <w:rsid w:val="00B82FA0"/>
    <w:rsid w:val="00B83D84"/>
    <w:rsid w:val="00BA01C3"/>
    <w:rsid w:val="00BA2B34"/>
    <w:rsid w:val="00BB0912"/>
    <w:rsid w:val="00BB4DA7"/>
    <w:rsid w:val="00BE1DF8"/>
    <w:rsid w:val="00C1663F"/>
    <w:rsid w:val="00C33425"/>
    <w:rsid w:val="00C51876"/>
    <w:rsid w:val="00C61210"/>
    <w:rsid w:val="00C70E63"/>
    <w:rsid w:val="00C74903"/>
    <w:rsid w:val="00C80B24"/>
    <w:rsid w:val="00C83289"/>
    <w:rsid w:val="00C872F5"/>
    <w:rsid w:val="00CA711C"/>
    <w:rsid w:val="00CB044A"/>
    <w:rsid w:val="00CB0B08"/>
    <w:rsid w:val="00CC02E4"/>
    <w:rsid w:val="00CC649D"/>
    <w:rsid w:val="00CD1EF6"/>
    <w:rsid w:val="00CE729E"/>
    <w:rsid w:val="00D13B2F"/>
    <w:rsid w:val="00D14115"/>
    <w:rsid w:val="00D1698E"/>
    <w:rsid w:val="00D309E9"/>
    <w:rsid w:val="00D3195E"/>
    <w:rsid w:val="00D63C3F"/>
    <w:rsid w:val="00D71BD8"/>
    <w:rsid w:val="00D8163C"/>
    <w:rsid w:val="00D84CA8"/>
    <w:rsid w:val="00D86BC6"/>
    <w:rsid w:val="00DA3C3E"/>
    <w:rsid w:val="00DB0C28"/>
    <w:rsid w:val="00DE3600"/>
    <w:rsid w:val="00E13F35"/>
    <w:rsid w:val="00E349B8"/>
    <w:rsid w:val="00E3585B"/>
    <w:rsid w:val="00E5145D"/>
    <w:rsid w:val="00E73C56"/>
    <w:rsid w:val="00E745EC"/>
    <w:rsid w:val="00EA2AEA"/>
    <w:rsid w:val="00EA71AD"/>
    <w:rsid w:val="00EB2C91"/>
    <w:rsid w:val="00EC771D"/>
    <w:rsid w:val="00EC7AC9"/>
    <w:rsid w:val="00ED4DA6"/>
    <w:rsid w:val="00F12045"/>
    <w:rsid w:val="00F15DD7"/>
    <w:rsid w:val="00F2694C"/>
    <w:rsid w:val="00F26D23"/>
    <w:rsid w:val="00F37429"/>
    <w:rsid w:val="00F37869"/>
    <w:rsid w:val="00F42149"/>
    <w:rsid w:val="00F769A1"/>
    <w:rsid w:val="00FA4715"/>
    <w:rsid w:val="00FB2F68"/>
    <w:rsid w:val="00FB7E5E"/>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414C"/>
  <w15:docId w15:val="{F7C666D2-78F9-4804-968C-8E0D5DD4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3C2B6-E4C1-4731-8D97-FEDFD2FB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621</Words>
  <Characters>3542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Lori Leigh Alexander</cp:lastModifiedBy>
  <cp:revision>2</cp:revision>
  <cp:lastPrinted>2020-10-15T05:45:00Z</cp:lastPrinted>
  <dcterms:created xsi:type="dcterms:W3CDTF">2021-09-02T19:47:00Z</dcterms:created>
  <dcterms:modified xsi:type="dcterms:W3CDTF">2021-09-02T19:47:00Z</dcterms:modified>
</cp:coreProperties>
</file>