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5033"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3A10A1CB" wp14:editId="2B1BC0B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0A1CB"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62BCE965" wp14:editId="0452BB62">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7C3C7111" w14:textId="77777777" w:rsidR="006C7CFD" w:rsidRPr="006C7CFD" w:rsidRDefault="006C7CFD" w:rsidP="006C7CFD">
      <w:pPr>
        <w:spacing w:after="0" w:line="240" w:lineRule="auto"/>
        <w:ind w:left="-90" w:firstLine="180"/>
        <w:rPr>
          <w:noProof/>
        </w:rPr>
      </w:pPr>
    </w:p>
    <w:p w14:paraId="35CA9063" w14:textId="77777777" w:rsidR="00EC7AC9" w:rsidRPr="00B34D64" w:rsidRDefault="00935903" w:rsidP="00CB0B08">
      <w:pPr>
        <w:tabs>
          <w:tab w:val="left" w:pos="90"/>
        </w:tabs>
        <w:spacing w:after="0" w:line="240" w:lineRule="auto"/>
        <w:ind w:left="-180"/>
        <w:jc w:val="center"/>
        <w:rPr>
          <w:rFonts w:ascii="Verdana" w:eastAsia="Calibri" w:hAnsi="Verdana" w:cs="Times New Roman"/>
          <w:b/>
          <w:color w:val="F66733"/>
          <w:sz w:val="52"/>
          <w:szCs w:val="52"/>
        </w:rPr>
      </w:pPr>
      <w:r w:rsidRPr="00B34D64">
        <w:rPr>
          <w:rFonts w:ascii="Verdana" w:eastAsia="Calibri" w:hAnsi="Verdana" w:cs="Times New Roman"/>
          <w:b/>
          <w:color w:val="F66733"/>
          <w:sz w:val="52"/>
          <w:szCs w:val="52"/>
        </w:rPr>
        <w:t>EEES Department Seminar</w:t>
      </w:r>
    </w:p>
    <w:p w14:paraId="3711FF81"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6DF75B91" w14:textId="0540B4ED" w:rsidR="009D5DA0" w:rsidRPr="009D5DA0" w:rsidRDefault="00915E53" w:rsidP="009D5DA0">
      <w:pPr>
        <w:tabs>
          <w:tab w:val="left" w:pos="90"/>
        </w:tabs>
        <w:spacing w:after="0" w:line="240" w:lineRule="auto"/>
        <w:jc w:val="center"/>
        <w:rPr>
          <w:rFonts w:ascii="Arial" w:eastAsia="Calibri" w:hAnsi="Arial" w:cs="Arial"/>
          <w:b/>
          <w:bCs/>
          <w:color w:val="522D80"/>
          <w:sz w:val="36"/>
          <w:szCs w:val="36"/>
        </w:rPr>
      </w:pPr>
      <w:bookmarkStart w:id="0" w:name="_Hlk18477715"/>
      <w:r w:rsidRPr="009D5DA0">
        <w:rPr>
          <w:rFonts w:ascii="Arial" w:eastAsia="Calibri" w:hAnsi="Arial" w:cs="Arial"/>
          <w:b/>
          <w:bCs/>
          <w:color w:val="522D80"/>
          <w:sz w:val="36"/>
          <w:szCs w:val="36"/>
        </w:rPr>
        <w:t>‟</w:t>
      </w:r>
      <w:r w:rsidR="00D715A5" w:rsidRPr="009D5DA0">
        <w:rPr>
          <w:sz w:val="18"/>
          <w:szCs w:val="18"/>
        </w:rPr>
        <w:t xml:space="preserve"> </w:t>
      </w:r>
      <w:r w:rsidR="009D5DA0" w:rsidRPr="009D5DA0">
        <w:rPr>
          <w:rFonts w:ascii="Arial" w:eastAsia="Calibri" w:hAnsi="Arial" w:cs="Arial"/>
          <w:b/>
          <w:bCs/>
          <w:color w:val="522D80"/>
          <w:sz w:val="36"/>
          <w:szCs w:val="36"/>
        </w:rPr>
        <w:t>Viruses in Wastewater - from CrAssphage to SARS-CoV-2</w:t>
      </w:r>
      <w:r w:rsidR="009D5DA0">
        <w:rPr>
          <w:rFonts w:ascii="Arial" w:eastAsia="Calibri" w:hAnsi="Arial" w:cs="Arial"/>
          <w:b/>
          <w:bCs/>
          <w:color w:val="522D80"/>
          <w:sz w:val="36"/>
          <w:szCs w:val="36"/>
        </w:rPr>
        <w:t>”</w:t>
      </w:r>
    </w:p>
    <w:p w14:paraId="4883D406" w14:textId="7B1F7F8E" w:rsidR="00220060" w:rsidRPr="009D5DA0" w:rsidRDefault="00220060" w:rsidP="00EC7AC9">
      <w:pPr>
        <w:tabs>
          <w:tab w:val="left" w:pos="90"/>
        </w:tabs>
        <w:spacing w:after="0" w:line="240" w:lineRule="auto"/>
        <w:jc w:val="center"/>
        <w:rPr>
          <w:rFonts w:ascii="Arial" w:eastAsia="Calibri" w:hAnsi="Arial" w:cs="Arial"/>
          <w:b/>
          <w:bCs/>
          <w:color w:val="522D80"/>
          <w:sz w:val="40"/>
          <w:szCs w:val="40"/>
        </w:rPr>
      </w:pPr>
    </w:p>
    <w:bookmarkEnd w:id="0"/>
    <w:p w14:paraId="6AF8E9CF" w14:textId="77777777"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6A2EAA66" w14:textId="20B7FFFF" w:rsidR="003E3AEC"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4DE4A5C3" w14:textId="77777777" w:rsidR="00D715A5" w:rsidRDefault="00D715A5" w:rsidP="001F0E15">
      <w:pPr>
        <w:tabs>
          <w:tab w:val="left" w:pos="2610"/>
        </w:tabs>
        <w:spacing w:after="0" w:line="240" w:lineRule="auto"/>
        <w:jc w:val="center"/>
        <w:rPr>
          <w:rFonts w:ascii="Verdana" w:eastAsia="Calibri" w:hAnsi="Verdana" w:cs="Times New Roman"/>
          <w:b/>
        </w:rPr>
      </w:pPr>
    </w:p>
    <w:p w14:paraId="03C46735" w14:textId="6239ABD5" w:rsidR="00D715A5" w:rsidRPr="009D5DA0" w:rsidRDefault="009D5DA0" w:rsidP="00D715A5">
      <w:pPr>
        <w:jc w:val="center"/>
        <w:rPr>
          <w:b/>
          <w:sz w:val="24"/>
          <w:szCs w:val="24"/>
        </w:rPr>
      </w:pPr>
      <w:r w:rsidRPr="009D5DA0">
        <w:rPr>
          <w:b/>
          <w:sz w:val="24"/>
          <w:szCs w:val="24"/>
        </w:rPr>
        <w:t>Dr. Kyle Bibby</w:t>
      </w:r>
    </w:p>
    <w:p w14:paraId="3A8EC2F7" w14:textId="77777777" w:rsidR="009D5DA0" w:rsidRPr="009D5DA0" w:rsidRDefault="009D5DA0" w:rsidP="009D5DA0">
      <w:pPr>
        <w:spacing w:after="0" w:line="240" w:lineRule="auto"/>
        <w:jc w:val="center"/>
        <w:rPr>
          <w:sz w:val="24"/>
          <w:szCs w:val="24"/>
        </w:rPr>
      </w:pPr>
      <w:r w:rsidRPr="009D5DA0">
        <w:rPr>
          <w:sz w:val="24"/>
          <w:szCs w:val="24"/>
        </w:rPr>
        <w:t>Associate Professor and Wanzek Collegiate Chair</w:t>
      </w:r>
    </w:p>
    <w:p w14:paraId="11DA3FAC" w14:textId="77777777" w:rsidR="009D5DA0" w:rsidRPr="009D5DA0" w:rsidRDefault="009D5DA0" w:rsidP="009D5DA0">
      <w:pPr>
        <w:spacing w:after="0" w:line="240" w:lineRule="auto"/>
        <w:jc w:val="center"/>
        <w:rPr>
          <w:sz w:val="24"/>
          <w:szCs w:val="24"/>
        </w:rPr>
      </w:pPr>
      <w:r w:rsidRPr="009D5DA0">
        <w:rPr>
          <w:sz w:val="24"/>
          <w:szCs w:val="24"/>
        </w:rPr>
        <w:t>Civil and Environmental Engineering and Earth Sciences</w:t>
      </w:r>
    </w:p>
    <w:p w14:paraId="5981E6C4" w14:textId="4FE364A3" w:rsidR="009D5DA0" w:rsidRPr="009D5DA0" w:rsidRDefault="009D5DA0" w:rsidP="009D5DA0">
      <w:pPr>
        <w:spacing w:after="0" w:line="240" w:lineRule="auto"/>
        <w:jc w:val="center"/>
        <w:rPr>
          <w:sz w:val="24"/>
          <w:szCs w:val="24"/>
        </w:rPr>
      </w:pPr>
      <w:r w:rsidRPr="009D5DA0">
        <w:rPr>
          <w:sz w:val="24"/>
          <w:szCs w:val="24"/>
        </w:rPr>
        <w:t>University of Notre Dame</w:t>
      </w:r>
    </w:p>
    <w:p w14:paraId="1ACEF393" w14:textId="77777777" w:rsidR="009D5DA0" w:rsidRPr="009D5DA0" w:rsidRDefault="009D5DA0" w:rsidP="009D5DA0">
      <w:pPr>
        <w:spacing w:after="0" w:line="240" w:lineRule="auto"/>
        <w:jc w:val="center"/>
        <w:rPr>
          <w:rFonts w:ascii="Times New Roman" w:eastAsia="Calibri" w:hAnsi="Times New Roman" w:cs="Times New Roman"/>
          <w:bCs/>
          <w:sz w:val="24"/>
          <w:szCs w:val="24"/>
        </w:rPr>
      </w:pPr>
      <w:hyperlink r:id="rId10" w:history="1">
        <w:r w:rsidRPr="009D5DA0">
          <w:rPr>
            <w:rFonts w:ascii="Times New Roman" w:eastAsia="Calibri" w:hAnsi="Times New Roman" w:cs="Times New Roman"/>
            <w:bCs/>
            <w:color w:val="0563C1"/>
            <w:sz w:val="24"/>
            <w:szCs w:val="24"/>
            <w:u w:val="single"/>
          </w:rPr>
          <w:t>https://clemson.zoom.us/j/5783910968</w:t>
        </w:r>
      </w:hyperlink>
      <w:r w:rsidRPr="009D5DA0">
        <w:rPr>
          <w:rFonts w:ascii="Times New Roman" w:eastAsia="Calibri" w:hAnsi="Times New Roman" w:cs="Times New Roman"/>
          <w:bCs/>
          <w:sz w:val="24"/>
          <w:szCs w:val="24"/>
        </w:rPr>
        <w:t xml:space="preserve"> </w:t>
      </w:r>
    </w:p>
    <w:p w14:paraId="106316C9"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446DE254"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32327591" w14:textId="7658E86E" w:rsidR="009D5DA0" w:rsidRPr="009D5DA0" w:rsidRDefault="009D5DA0" w:rsidP="009D5D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Abstract: </w:t>
      </w:r>
      <w:r w:rsidRPr="009D5DA0">
        <w:rPr>
          <w:rFonts w:ascii="Times New Roman" w:eastAsia="Calibri" w:hAnsi="Times New Roman" w:cs="Times New Roman"/>
          <w:bCs/>
          <w:sz w:val="24"/>
          <w:szCs w:val="24"/>
        </w:rPr>
        <w:t xml:space="preserve">Protecting the public from waterborne infectious microorganisms is a primary tenant of environmental engineering. While </w:t>
      </w:r>
      <w:proofErr w:type="gramStart"/>
      <w:r w:rsidRPr="009D5DA0">
        <w:rPr>
          <w:rFonts w:ascii="Times New Roman" w:eastAsia="Calibri" w:hAnsi="Times New Roman" w:cs="Times New Roman"/>
          <w:bCs/>
          <w:sz w:val="24"/>
          <w:szCs w:val="24"/>
        </w:rPr>
        <w:t>the majority of</w:t>
      </w:r>
      <w:proofErr w:type="gramEnd"/>
      <w:r w:rsidRPr="009D5DA0">
        <w:rPr>
          <w:rFonts w:ascii="Times New Roman" w:eastAsia="Calibri" w:hAnsi="Times New Roman" w:cs="Times New Roman"/>
          <w:bCs/>
          <w:sz w:val="24"/>
          <w:szCs w:val="24"/>
        </w:rPr>
        <w:t xml:space="preserve"> infections from exposure to sewage-contaminated water are believed to be due to virus, which are poorly represented by currently used fecal indicator bacteria. I will begin by discussing our efforts to develop an indicator of viral fecal pollution using the newly discovered bacteriophage ‘cross-assembly phage’ (crAssphage). CrAssphage is highly enriched in sewage, potentially addressing limitations of fecal indicator bacteria for monitoring viral water quality. I will present our successful development of a crAssphage PCR assay and our evaluation of this assay both in the US and globally. In addition to posing a public health threat, the presence of pathogens in wastewater can be used to monitor for the presence of a disease within a community. I will close by discussing our efforts to monitor SARS-CoV-2 in wastewater in response to the COVID-19 pandemic, and perspectives on the future of wastewater surveillance to protect public health.</w:t>
      </w:r>
    </w:p>
    <w:p w14:paraId="54D51657"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0DC6D935" w14:textId="77777777" w:rsidR="009D5DA0" w:rsidRPr="009D5DA0" w:rsidRDefault="009D5DA0" w:rsidP="009D5DA0">
      <w:pPr>
        <w:spacing w:after="0" w:line="240" w:lineRule="auto"/>
        <w:rPr>
          <w:rFonts w:ascii="Times New Roman" w:eastAsia="Calibri" w:hAnsi="Times New Roman" w:cs="Times New Roman"/>
          <w:b/>
          <w:sz w:val="24"/>
          <w:szCs w:val="24"/>
        </w:rPr>
      </w:pPr>
      <w:r w:rsidRPr="009D5DA0">
        <w:rPr>
          <w:rFonts w:ascii="Times New Roman" w:eastAsia="Calibri" w:hAnsi="Times New Roman" w:cs="Times New Roman"/>
          <w:b/>
          <w:sz w:val="24"/>
          <w:szCs w:val="24"/>
        </w:rPr>
        <w:t>About Dr. Bibby:</w:t>
      </w:r>
    </w:p>
    <w:p w14:paraId="20877250" w14:textId="77777777" w:rsidR="009D5DA0" w:rsidRPr="009D5DA0" w:rsidRDefault="009D5DA0" w:rsidP="009D5DA0">
      <w:pPr>
        <w:spacing w:after="0" w:line="240" w:lineRule="auto"/>
        <w:rPr>
          <w:rFonts w:ascii="Times New Roman" w:eastAsia="Calibri" w:hAnsi="Times New Roman" w:cs="Times New Roman"/>
          <w:bCs/>
          <w:sz w:val="24"/>
          <w:szCs w:val="24"/>
        </w:rPr>
      </w:pPr>
      <w:r w:rsidRPr="009D5DA0">
        <w:rPr>
          <w:rFonts w:ascii="Times New Roman" w:eastAsia="Calibri" w:hAnsi="Times New Roman" w:cs="Times New Roman"/>
          <w:bCs/>
          <w:noProof/>
          <w:sz w:val="24"/>
          <w:szCs w:val="24"/>
        </w:rPr>
        <w:drawing>
          <wp:anchor distT="0" distB="0" distL="114300" distR="114300" simplePos="0" relativeHeight="251661312" behindDoc="0" locked="0" layoutInCell="1" allowOverlap="1" wp14:anchorId="395C3C86" wp14:editId="228AB02E">
            <wp:simplePos x="0" y="0"/>
            <wp:positionH relativeFrom="column">
              <wp:posOffset>0</wp:posOffset>
            </wp:positionH>
            <wp:positionV relativeFrom="paragraph">
              <wp:posOffset>163195</wp:posOffset>
            </wp:positionV>
            <wp:extent cx="1475105" cy="1843405"/>
            <wp:effectExtent l="0" t="0" r="0" b="0"/>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 smiling at the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05" cy="1843405"/>
                    </a:xfrm>
                    <a:prstGeom prst="rect">
                      <a:avLst/>
                    </a:prstGeom>
                  </pic:spPr>
                </pic:pic>
              </a:graphicData>
            </a:graphic>
            <wp14:sizeRelH relativeFrom="page">
              <wp14:pctWidth>0</wp14:pctWidth>
            </wp14:sizeRelH>
            <wp14:sizeRelV relativeFrom="page">
              <wp14:pctHeight>0</wp14:pctHeight>
            </wp14:sizeRelV>
          </wp:anchor>
        </w:drawing>
      </w:r>
    </w:p>
    <w:p w14:paraId="0739396A" w14:textId="77777777" w:rsidR="009D5DA0" w:rsidRPr="009D5DA0" w:rsidRDefault="009D5DA0" w:rsidP="009D5DA0">
      <w:pPr>
        <w:spacing w:after="0" w:line="240" w:lineRule="auto"/>
        <w:rPr>
          <w:rFonts w:ascii="Times New Roman" w:eastAsia="Calibri" w:hAnsi="Times New Roman" w:cs="Times New Roman"/>
          <w:bCs/>
          <w:sz w:val="24"/>
          <w:szCs w:val="24"/>
        </w:rPr>
      </w:pPr>
      <w:r w:rsidRPr="009D5DA0">
        <w:rPr>
          <w:rFonts w:ascii="Times New Roman" w:eastAsia="Calibri" w:hAnsi="Times New Roman" w:cs="Times New Roman"/>
          <w:bCs/>
          <w:sz w:val="24"/>
          <w:szCs w:val="24"/>
        </w:rPr>
        <w:t>Dr. Kyle Bibby is an Associate Professor and the Wanzek Collegiate Chair at the University of Notre Dame in the Department of Civil and Environmental Engineering and Earth Sciences. He completed his BS in Civil Engineering from the University of Notre Dame and PhD in Environmental Engineering from Yale University, and was previously a faculty member at the University of Pittsburgh. He has won multiple professional awards, including the 2017 NSF CAREER award. Dr. Bibby currently leads multiple research projects centered around understanding microbiology relevant to protecting and improving human health and environmental quality.</w:t>
      </w:r>
    </w:p>
    <w:p w14:paraId="61989EA6" w14:textId="77777777" w:rsidR="009D5DA0" w:rsidRDefault="009D5DA0" w:rsidP="009D5DA0">
      <w:pPr>
        <w:rPr>
          <w:b/>
        </w:rPr>
      </w:pPr>
    </w:p>
    <w:p w14:paraId="5712FEDD" w14:textId="77777777" w:rsidR="00D715A5" w:rsidRDefault="00D715A5" w:rsidP="009D5DA0">
      <w:pPr>
        <w:tabs>
          <w:tab w:val="left" w:pos="2610"/>
        </w:tabs>
        <w:spacing w:after="0" w:line="240" w:lineRule="auto"/>
        <w:rPr>
          <w:rFonts w:ascii="Verdana" w:eastAsia="Calibri" w:hAnsi="Verdana" w:cs="Times New Roman"/>
          <w:b/>
        </w:rPr>
      </w:pPr>
    </w:p>
    <w:p w14:paraId="0BE780B1" w14:textId="77777777" w:rsidR="00711593" w:rsidRDefault="00711593" w:rsidP="001F0E15">
      <w:pPr>
        <w:tabs>
          <w:tab w:val="left" w:pos="2610"/>
        </w:tabs>
        <w:spacing w:after="0" w:line="240" w:lineRule="auto"/>
        <w:jc w:val="center"/>
        <w:rPr>
          <w:rFonts w:ascii="Verdana" w:eastAsia="Calibri" w:hAnsi="Verdana" w:cs="Times New Roman"/>
          <w:b/>
        </w:rPr>
      </w:pPr>
    </w:p>
    <w:p w14:paraId="2C76CEFD" w14:textId="7929B3CB"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 xml:space="preserve">Friday, </w:t>
      </w:r>
      <w:r w:rsidR="00711593" w:rsidRPr="009D5DA0">
        <w:rPr>
          <w:rFonts w:ascii="Verdana" w:eastAsia="Calibri" w:hAnsi="Verdana" w:cs="Times New Roman"/>
          <w:b/>
          <w:i/>
          <w:sz w:val="24"/>
          <w:szCs w:val="32"/>
        </w:rPr>
        <w:t>October</w:t>
      </w:r>
      <w:r w:rsidR="001E7C66" w:rsidRPr="009D5DA0">
        <w:rPr>
          <w:rFonts w:ascii="Verdana" w:eastAsia="Calibri" w:hAnsi="Verdana" w:cs="Times New Roman"/>
          <w:b/>
          <w:i/>
          <w:sz w:val="24"/>
          <w:szCs w:val="32"/>
        </w:rPr>
        <w:t xml:space="preserve"> </w:t>
      </w:r>
      <w:r w:rsidR="009D5DA0" w:rsidRPr="009D5DA0">
        <w:rPr>
          <w:rFonts w:ascii="Verdana" w:eastAsia="Calibri" w:hAnsi="Verdana" w:cs="Times New Roman"/>
          <w:b/>
          <w:i/>
          <w:sz w:val="24"/>
          <w:szCs w:val="32"/>
        </w:rPr>
        <w:t>30</w:t>
      </w:r>
      <w:r w:rsidR="001E7C66" w:rsidRPr="009D5DA0">
        <w:rPr>
          <w:rFonts w:ascii="Verdana" w:eastAsia="Calibri" w:hAnsi="Verdana" w:cs="Times New Roman"/>
          <w:b/>
          <w:i/>
          <w:sz w:val="24"/>
          <w:szCs w:val="32"/>
        </w:rPr>
        <w:t>, 20</w:t>
      </w:r>
      <w:r w:rsidR="00711593" w:rsidRPr="009D5DA0">
        <w:rPr>
          <w:rFonts w:ascii="Verdana" w:eastAsia="Calibri" w:hAnsi="Verdana" w:cs="Times New Roman"/>
          <w:b/>
          <w:i/>
          <w:sz w:val="24"/>
          <w:szCs w:val="32"/>
        </w:rPr>
        <w:t>20</w:t>
      </w:r>
      <w:r w:rsidRPr="009D5DA0">
        <w:rPr>
          <w:rFonts w:ascii="Verdana" w:eastAsia="Calibri" w:hAnsi="Verdana" w:cs="Times New Roman"/>
          <w:b/>
          <w:i/>
          <w:sz w:val="24"/>
          <w:szCs w:val="32"/>
        </w:rPr>
        <w:t xml:space="preserve">  </w:t>
      </w:r>
    </w:p>
    <w:p w14:paraId="64EF88F7" w14:textId="77777777"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color w:val="FF0000"/>
          <w:sz w:val="24"/>
          <w:szCs w:val="32"/>
        </w:rPr>
        <w:t>2:30 PM</w:t>
      </w:r>
    </w:p>
    <w:p w14:paraId="54664964" w14:textId="5B24652F" w:rsidR="00944848" w:rsidRPr="009D5DA0" w:rsidRDefault="00D715A5"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Online via Zoom</w:t>
      </w:r>
    </w:p>
    <w:p w14:paraId="55730EEE"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D715A5">
      <w:pgSz w:w="12240" w:h="15840" w:code="1"/>
      <w:pgMar w:top="288"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E0F"/>
    <w:multiLevelType w:val="hybridMultilevel"/>
    <w:tmpl w:val="61D45730"/>
    <w:lvl w:ilvl="0" w:tplc="60E0F0EA">
      <w:start w:val="1"/>
      <w:numFmt w:val="bullet"/>
      <w:lvlText w:val="•"/>
      <w:lvlJc w:val="left"/>
      <w:pPr>
        <w:tabs>
          <w:tab w:val="num" w:pos="720"/>
        </w:tabs>
        <w:ind w:left="720" w:hanging="360"/>
      </w:pPr>
      <w:rPr>
        <w:rFonts w:ascii="Arial" w:hAnsi="Arial" w:hint="default"/>
      </w:rPr>
    </w:lvl>
    <w:lvl w:ilvl="1" w:tplc="BF6638E4" w:tentative="1">
      <w:start w:val="1"/>
      <w:numFmt w:val="bullet"/>
      <w:lvlText w:val="•"/>
      <w:lvlJc w:val="left"/>
      <w:pPr>
        <w:tabs>
          <w:tab w:val="num" w:pos="1440"/>
        </w:tabs>
        <w:ind w:left="1440" w:hanging="360"/>
      </w:pPr>
      <w:rPr>
        <w:rFonts w:ascii="Arial" w:hAnsi="Arial" w:hint="default"/>
      </w:rPr>
    </w:lvl>
    <w:lvl w:ilvl="2" w:tplc="115A0FA6" w:tentative="1">
      <w:start w:val="1"/>
      <w:numFmt w:val="bullet"/>
      <w:lvlText w:val="•"/>
      <w:lvlJc w:val="left"/>
      <w:pPr>
        <w:tabs>
          <w:tab w:val="num" w:pos="2160"/>
        </w:tabs>
        <w:ind w:left="2160" w:hanging="360"/>
      </w:pPr>
      <w:rPr>
        <w:rFonts w:ascii="Arial" w:hAnsi="Arial" w:hint="default"/>
      </w:rPr>
    </w:lvl>
    <w:lvl w:ilvl="3" w:tplc="A3FA33FE" w:tentative="1">
      <w:start w:val="1"/>
      <w:numFmt w:val="bullet"/>
      <w:lvlText w:val="•"/>
      <w:lvlJc w:val="left"/>
      <w:pPr>
        <w:tabs>
          <w:tab w:val="num" w:pos="2880"/>
        </w:tabs>
        <w:ind w:left="2880" w:hanging="360"/>
      </w:pPr>
      <w:rPr>
        <w:rFonts w:ascii="Arial" w:hAnsi="Arial" w:hint="default"/>
      </w:rPr>
    </w:lvl>
    <w:lvl w:ilvl="4" w:tplc="1FF67F0C" w:tentative="1">
      <w:start w:val="1"/>
      <w:numFmt w:val="bullet"/>
      <w:lvlText w:val="•"/>
      <w:lvlJc w:val="left"/>
      <w:pPr>
        <w:tabs>
          <w:tab w:val="num" w:pos="3600"/>
        </w:tabs>
        <w:ind w:left="3600" w:hanging="360"/>
      </w:pPr>
      <w:rPr>
        <w:rFonts w:ascii="Arial" w:hAnsi="Arial" w:hint="default"/>
      </w:rPr>
    </w:lvl>
    <w:lvl w:ilvl="5" w:tplc="8B60518E" w:tentative="1">
      <w:start w:val="1"/>
      <w:numFmt w:val="bullet"/>
      <w:lvlText w:val="•"/>
      <w:lvlJc w:val="left"/>
      <w:pPr>
        <w:tabs>
          <w:tab w:val="num" w:pos="4320"/>
        </w:tabs>
        <w:ind w:left="4320" w:hanging="360"/>
      </w:pPr>
      <w:rPr>
        <w:rFonts w:ascii="Arial" w:hAnsi="Arial" w:hint="default"/>
      </w:rPr>
    </w:lvl>
    <w:lvl w:ilvl="6" w:tplc="17768E3A" w:tentative="1">
      <w:start w:val="1"/>
      <w:numFmt w:val="bullet"/>
      <w:lvlText w:val="•"/>
      <w:lvlJc w:val="left"/>
      <w:pPr>
        <w:tabs>
          <w:tab w:val="num" w:pos="5040"/>
        </w:tabs>
        <w:ind w:left="5040" w:hanging="360"/>
      </w:pPr>
      <w:rPr>
        <w:rFonts w:ascii="Arial" w:hAnsi="Arial" w:hint="default"/>
      </w:rPr>
    </w:lvl>
    <w:lvl w:ilvl="7" w:tplc="BA6692D4" w:tentative="1">
      <w:start w:val="1"/>
      <w:numFmt w:val="bullet"/>
      <w:lvlText w:val="•"/>
      <w:lvlJc w:val="left"/>
      <w:pPr>
        <w:tabs>
          <w:tab w:val="num" w:pos="5760"/>
        </w:tabs>
        <w:ind w:left="5760" w:hanging="360"/>
      </w:pPr>
      <w:rPr>
        <w:rFonts w:ascii="Arial" w:hAnsi="Arial" w:hint="default"/>
      </w:rPr>
    </w:lvl>
    <w:lvl w:ilvl="8" w:tplc="7402D0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523A7"/>
    <w:multiLevelType w:val="hybridMultilevel"/>
    <w:tmpl w:val="0DC24AEC"/>
    <w:lvl w:ilvl="0" w:tplc="CC3C94F4">
      <w:start w:val="1"/>
      <w:numFmt w:val="bullet"/>
      <w:lvlText w:val="•"/>
      <w:lvlJc w:val="left"/>
      <w:pPr>
        <w:tabs>
          <w:tab w:val="num" w:pos="720"/>
        </w:tabs>
        <w:ind w:left="720" w:hanging="360"/>
      </w:pPr>
      <w:rPr>
        <w:rFonts w:ascii="Arial" w:hAnsi="Arial" w:hint="default"/>
      </w:rPr>
    </w:lvl>
    <w:lvl w:ilvl="1" w:tplc="ECB8CEAE" w:tentative="1">
      <w:start w:val="1"/>
      <w:numFmt w:val="bullet"/>
      <w:lvlText w:val="•"/>
      <w:lvlJc w:val="left"/>
      <w:pPr>
        <w:tabs>
          <w:tab w:val="num" w:pos="1440"/>
        </w:tabs>
        <w:ind w:left="1440" w:hanging="360"/>
      </w:pPr>
      <w:rPr>
        <w:rFonts w:ascii="Arial" w:hAnsi="Arial" w:hint="default"/>
      </w:rPr>
    </w:lvl>
    <w:lvl w:ilvl="2" w:tplc="6BC87350" w:tentative="1">
      <w:start w:val="1"/>
      <w:numFmt w:val="bullet"/>
      <w:lvlText w:val="•"/>
      <w:lvlJc w:val="left"/>
      <w:pPr>
        <w:tabs>
          <w:tab w:val="num" w:pos="2160"/>
        </w:tabs>
        <w:ind w:left="2160" w:hanging="360"/>
      </w:pPr>
      <w:rPr>
        <w:rFonts w:ascii="Arial" w:hAnsi="Arial" w:hint="default"/>
      </w:rPr>
    </w:lvl>
    <w:lvl w:ilvl="3" w:tplc="3678294E" w:tentative="1">
      <w:start w:val="1"/>
      <w:numFmt w:val="bullet"/>
      <w:lvlText w:val="•"/>
      <w:lvlJc w:val="left"/>
      <w:pPr>
        <w:tabs>
          <w:tab w:val="num" w:pos="2880"/>
        </w:tabs>
        <w:ind w:left="2880" w:hanging="360"/>
      </w:pPr>
      <w:rPr>
        <w:rFonts w:ascii="Arial" w:hAnsi="Arial" w:hint="default"/>
      </w:rPr>
    </w:lvl>
    <w:lvl w:ilvl="4" w:tplc="0FA6C5C8" w:tentative="1">
      <w:start w:val="1"/>
      <w:numFmt w:val="bullet"/>
      <w:lvlText w:val="•"/>
      <w:lvlJc w:val="left"/>
      <w:pPr>
        <w:tabs>
          <w:tab w:val="num" w:pos="3600"/>
        </w:tabs>
        <w:ind w:left="3600" w:hanging="360"/>
      </w:pPr>
      <w:rPr>
        <w:rFonts w:ascii="Arial" w:hAnsi="Arial" w:hint="default"/>
      </w:rPr>
    </w:lvl>
    <w:lvl w:ilvl="5" w:tplc="39B2E4B4" w:tentative="1">
      <w:start w:val="1"/>
      <w:numFmt w:val="bullet"/>
      <w:lvlText w:val="•"/>
      <w:lvlJc w:val="left"/>
      <w:pPr>
        <w:tabs>
          <w:tab w:val="num" w:pos="4320"/>
        </w:tabs>
        <w:ind w:left="4320" w:hanging="360"/>
      </w:pPr>
      <w:rPr>
        <w:rFonts w:ascii="Arial" w:hAnsi="Arial" w:hint="default"/>
      </w:rPr>
    </w:lvl>
    <w:lvl w:ilvl="6" w:tplc="6700F920" w:tentative="1">
      <w:start w:val="1"/>
      <w:numFmt w:val="bullet"/>
      <w:lvlText w:val="•"/>
      <w:lvlJc w:val="left"/>
      <w:pPr>
        <w:tabs>
          <w:tab w:val="num" w:pos="5040"/>
        </w:tabs>
        <w:ind w:left="5040" w:hanging="360"/>
      </w:pPr>
      <w:rPr>
        <w:rFonts w:ascii="Arial" w:hAnsi="Arial" w:hint="default"/>
      </w:rPr>
    </w:lvl>
    <w:lvl w:ilvl="7" w:tplc="CD76A0E6" w:tentative="1">
      <w:start w:val="1"/>
      <w:numFmt w:val="bullet"/>
      <w:lvlText w:val="•"/>
      <w:lvlJc w:val="left"/>
      <w:pPr>
        <w:tabs>
          <w:tab w:val="num" w:pos="5760"/>
        </w:tabs>
        <w:ind w:left="5760" w:hanging="360"/>
      </w:pPr>
      <w:rPr>
        <w:rFonts w:ascii="Arial" w:hAnsi="Arial" w:hint="default"/>
      </w:rPr>
    </w:lvl>
    <w:lvl w:ilvl="8" w:tplc="05E0A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1325A7"/>
    <w:rsid w:val="00144840"/>
    <w:rsid w:val="00155808"/>
    <w:rsid w:val="00156354"/>
    <w:rsid w:val="00160EC9"/>
    <w:rsid w:val="00170EAE"/>
    <w:rsid w:val="001737E2"/>
    <w:rsid w:val="001A3851"/>
    <w:rsid w:val="001B0332"/>
    <w:rsid w:val="001B2411"/>
    <w:rsid w:val="001E7C66"/>
    <w:rsid w:val="001F0E15"/>
    <w:rsid w:val="00220060"/>
    <w:rsid w:val="002A41D5"/>
    <w:rsid w:val="002A42CA"/>
    <w:rsid w:val="002A72D2"/>
    <w:rsid w:val="002B5172"/>
    <w:rsid w:val="002D1655"/>
    <w:rsid w:val="002D1F25"/>
    <w:rsid w:val="002E67E8"/>
    <w:rsid w:val="002F16AB"/>
    <w:rsid w:val="00300AE2"/>
    <w:rsid w:val="003127FC"/>
    <w:rsid w:val="00315B85"/>
    <w:rsid w:val="00335FC9"/>
    <w:rsid w:val="00360569"/>
    <w:rsid w:val="003715B6"/>
    <w:rsid w:val="00384B2B"/>
    <w:rsid w:val="003B0E67"/>
    <w:rsid w:val="003D4D94"/>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B381B"/>
    <w:rsid w:val="005C501B"/>
    <w:rsid w:val="005F1789"/>
    <w:rsid w:val="006024C0"/>
    <w:rsid w:val="00663647"/>
    <w:rsid w:val="00665DFB"/>
    <w:rsid w:val="006A17CB"/>
    <w:rsid w:val="006A1970"/>
    <w:rsid w:val="006C72FB"/>
    <w:rsid w:val="006C7CFD"/>
    <w:rsid w:val="006F0152"/>
    <w:rsid w:val="00711593"/>
    <w:rsid w:val="007176BA"/>
    <w:rsid w:val="00743C7D"/>
    <w:rsid w:val="007A52C7"/>
    <w:rsid w:val="007C04D3"/>
    <w:rsid w:val="007E0BB4"/>
    <w:rsid w:val="008102CE"/>
    <w:rsid w:val="00817066"/>
    <w:rsid w:val="00831752"/>
    <w:rsid w:val="008340F1"/>
    <w:rsid w:val="00843CFD"/>
    <w:rsid w:val="0084776B"/>
    <w:rsid w:val="00856B08"/>
    <w:rsid w:val="0087661D"/>
    <w:rsid w:val="00880EA9"/>
    <w:rsid w:val="00895BBD"/>
    <w:rsid w:val="008A3623"/>
    <w:rsid w:val="008B7094"/>
    <w:rsid w:val="008C402B"/>
    <w:rsid w:val="008D523C"/>
    <w:rsid w:val="008D6CB4"/>
    <w:rsid w:val="008F4482"/>
    <w:rsid w:val="009061C6"/>
    <w:rsid w:val="00910C0C"/>
    <w:rsid w:val="0091155E"/>
    <w:rsid w:val="00915E53"/>
    <w:rsid w:val="00935903"/>
    <w:rsid w:val="00944848"/>
    <w:rsid w:val="00961F4C"/>
    <w:rsid w:val="009704FC"/>
    <w:rsid w:val="009724CB"/>
    <w:rsid w:val="009A1F05"/>
    <w:rsid w:val="009B6402"/>
    <w:rsid w:val="009C2CF4"/>
    <w:rsid w:val="009C50A4"/>
    <w:rsid w:val="009D5DA0"/>
    <w:rsid w:val="009E743B"/>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1198"/>
    <w:rsid w:val="00B34D64"/>
    <w:rsid w:val="00B549AC"/>
    <w:rsid w:val="00B55245"/>
    <w:rsid w:val="00B65083"/>
    <w:rsid w:val="00B82FA0"/>
    <w:rsid w:val="00B83D84"/>
    <w:rsid w:val="00BA01C3"/>
    <w:rsid w:val="00BA2B34"/>
    <w:rsid w:val="00BB0912"/>
    <w:rsid w:val="00BB4DA7"/>
    <w:rsid w:val="00BE1DF8"/>
    <w:rsid w:val="00C1663F"/>
    <w:rsid w:val="00C51876"/>
    <w:rsid w:val="00C51B96"/>
    <w:rsid w:val="00C61210"/>
    <w:rsid w:val="00C70E63"/>
    <w:rsid w:val="00C74903"/>
    <w:rsid w:val="00C80B24"/>
    <w:rsid w:val="00C872F5"/>
    <w:rsid w:val="00CA711C"/>
    <w:rsid w:val="00CB044A"/>
    <w:rsid w:val="00CB0B08"/>
    <w:rsid w:val="00CC649D"/>
    <w:rsid w:val="00CD1EF6"/>
    <w:rsid w:val="00CE729E"/>
    <w:rsid w:val="00D1698E"/>
    <w:rsid w:val="00D309E9"/>
    <w:rsid w:val="00D3195E"/>
    <w:rsid w:val="00D63C3F"/>
    <w:rsid w:val="00D715A5"/>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769A1"/>
    <w:rsid w:val="00FA4715"/>
    <w:rsid w:val="00FA6633"/>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A3F6"/>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4C0"/>
    <w:pPr>
      <w:spacing w:after="0" w:line="240" w:lineRule="auto"/>
      <w:ind w:left="270"/>
      <w:outlineLvl w:val="0"/>
    </w:pPr>
    <w:rPr>
      <w:b/>
      <w:bCs/>
      <w:sz w:val="32"/>
      <w:szCs w:val="32"/>
    </w:rPr>
  </w:style>
  <w:style w:type="paragraph" w:styleId="Heading2">
    <w:name w:val="heading 2"/>
    <w:basedOn w:val="Normal"/>
    <w:next w:val="Normal"/>
    <w:link w:val="Heading2Char"/>
    <w:uiPriority w:val="9"/>
    <w:unhideWhenUsed/>
    <w:qFormat/>
    <w:rsid w:val="006024C0"/>
    <w:pPr>
      <w:spacing w:after="120" w:line="240" w:lineRule="auto"/>
      <w:ind w:left="274"/>
      <w:outlineLvl w:val="1"/>
    </w:pPr>
    <w:rPr>
      <w:i/>
      <w:iCs/>
      <w:color w:val="0033CC"/>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customStyle="1" w:styleId="Heading1Char">
    <w:name w:val="Heading 1 Char"/>
    <w:basedOn w:val="DefaultParagraphFont"/>
    <w:link w:val="Heading1"/>
    <w:uiPriority w:val="9"/>
    <w:rsid w:val="006024C0"/>
    <w:rPr>
      <w:b/>
      <w:bCs/>
      <w:sz w:val="32"/>
      <w:szCs w:val="32"/>
    </w:rPr>
  </w:style>
  <w:style w:type="character" w:customStyle="1" w:styleId="Heading2Char">
    <w:name w:val="Heading 2 Char"/>
    <w:basedOn w:val="DefaultParagraphFont"/>
    <w:link w:val="Heading2"/>
    <w:uiPriority w:val="9"/>
    <w:rsid w:val="006024C0"/>
    <w:rPr>
      <w:i/>
      <w:iCs/>
      <w:color w:val="0033CC"/>
      <w:sz w:val="32"/>
      <w:szCs w:val="32"/>
    </w:rPr>
  </w:style>
  <w:style w:type="character" w:styleId="Hyperlink">
    <w:name w:val="Hyperlink"/>
    <w:basedOn w:val="DefaultParagraphFont"/>
    <w:uiPriority w:val="99"/>
    <w:unhideWhenUsed/>
    <w:rsid w:val="00C51B96"/>
    <w:rPr>
      <w:color w:val="0563C1"/>
      <w:u w:val="single"/>
    </w:rPr>
  </w:style>
  <w:style w:type="character" w:styleId="UnresolvedMention">
    <w:name w:val="Unresolved Mention"/>
    <w:basedOn w:val="DefaultParagraphFont"/>
    <w:uiPriority w:val="99"/>
    <w:semiHidden/>
    <w:unhideWhenUsed/>
    <w:rsid w:val="009A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7254">
      <w:bodyDiv w:val="1"/>
      <w:marLeft w:val="0"/>
      <w:marRight w:val="0"/>
      <w:marTop w:val="0"/>
      <w:marBottom w:val="0"/>
      <w:divBdr>
        <w:top w:val="none" w:sz="0" w:space="0" w:color="auto"/>
        <w:left w:val="none" w:sz="0" w:space="0" w:color="auto"/>
        <w:bottom w:val="none" w:sz="0" w:space="0" w:color="auto"/>
        <w:right w:val="none" w:sz="0" w:space="0" w:color="auto"/>
      </w:divBdr>
    </w:div>
    <w:div w:id="532307650">
      <w:bodyDiv w:val="1"/>
      <w:marLeft w:val="0"/>
      <w:marRight w:val="0"/>
      <w:marTop w:val="0"/>
      <w:marBottom w:val="0"/>
      <w:divBdr>
        <w:top w:val="none" w:sz="0" w:space="0" w:color="auto"/>
        <w:left w:val="none" w:sz="0" w:space="0" w:color="auto"/>
        <w:bottom w:val="none" w:sz="0" w:space="0" w:color="auto"/>
        <w:right w:val="none" w:sz="0" w:space="0" w:color="auto"/>
      </w:divBdr>
      <w:divsChild>
        <w:div w:id="1529176752">
          <w:marLeft w:val="360"/>
          <w:marRight w:val="0"/>
          <w:marTop w:val="200"/>
          <w:marBottom w:val="0"/>
          <w:divBdr>
            <w:top w:val="none" w:sz="0" w:space="0" w:color="auto"/>
            <w:left w:val="none" w:sz="0" w:space="0" w:color="auto"/>
            <w:bottom w:val="none" w:sz="0" w:space="0" w:color="auto"/>
            <w:right w:val="none" w:sz="0" w:space="0" w:color="auto"/>
          </w:divBdr>
        </w:div>
      </w:divsChild>
    </w:div>
    <w:div w:id="660163875">
      <w:bodyDiv w:val="1"/>
      <w:marLeft w:val="0"/>
      <w:marRight w:val="0"/>
      <w:marTop w:val="0"/>
      <w:marBottom w:val="0"/>
      <w:divBdr>
        <w:top w:val="none" w:sz="0" w:space="0" w:color="auto"/>
        <w:left w:val="none" w:sz="0" w:space="0" w:color="auto"/>
        <w:bottom w:val="none" w:sz="0" w:space="0" w:color="auto"/>
        <w:right w:val="none" w:sz="0" w:space="0" w:color="auto"/>
      </w:divBdr>
    </w:div>
    <w:div w:id="1079056760">
      <w:bodyDiv w:val="1"/>
      <w:marLeft w:val="0"/>
      <w:marRight w:val="0"/>
      <w:marTop w:val="0"/>
      <w:marBottom w:val="0"/>
      <w:divBdr>
        <w:top w:val="none" w:sz="0" w:space="0" w:color="auto"/>
        <w:left w:val="none" w:sz="0" w:space="0" w:color="auto"/>
        <w:bottom w:val="none" w:sz="0" w:space="0" w:color="auto"/>
        <w:right w:val="none" w:sz="0" w:space="0" w:color="auto"/>
      </w:divBdr>
      <w:divsChild>
        <w:div w:id="21420728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clemson.zoom.us/j/578391096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F091A-CB87-433D-B399-05C809E97FA3}">
  <ds:schemaRefs>
    <ds:schemaRef ds:uri="http://schemas.microsoft.com/office/2006/metadata/properties"/>
    <ds:schemaRef ds:uri="http://purl.org/dc/terms/"/>
    <ds:schemaRef ds:uri="48493911-4a07-416d-ab56-65499c9ed38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A200B7-7B12-40C4-B884-FA191931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553E2-7207-40A0-AD7F-BA195E18B637}">
  <ds:schemaRefs>
    <ds:schemaRef ds:uri="http://schemas.openxmlformats.org/officeDocument/2006/bibliography"/>
  </ds:schemaRefs>
</ds:datastoreItem>
</file>

<file path=customXml/itemProps4.xml><?xml version="1.0" encoding="utf-8"?>
<ds:datastoreItem xmlns:ds="http://schemas.openxmlformats.org/officeDocument/2006/customXml" ds:itemID="{85182DB9-EA19-4A6C-A73E-EC6525241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Leigh Alexander</cp:lastModifiedBy>
  <cp:revision>2</cp:revision>
  <cp:lastPrinted>2019-09-11T12:05:00Z</cp:lastPrinted>
  <dcterms:created xsi:type="dcterms:W3CDTF">2020-10-27T13:26:00Z</dcterms:created>
  <dcterms:modified xsi:type="dcterms:W3CDTF">2020-10-27T13:26:00Z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