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7D5E5" w14:textId="25CE649C"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7D8A8586">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9264" behindDoc="0" locked="0" layoutInCell="1" allowOverlap="1" wp14:anchorId="5E8B0EBE" wp14:editId="17C16797">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pWQIAAIYEAAAOAAAAZHJzL2Uyb0RvYy54bWysVNtu2zAMfR+wfxD0vjpxkjY16hRduw4D&#10;dinW7gMUSbaFyaJGqbG7rx8lp2m2vQ3zgyCK1NEhD+mLy7G3bKcxGHA1n5/MONNOgjKurfm3h9s3&#10;a85CFE4JC07X/EkHfrl5/epi8JUuoQOrNDICcaEafM27GH1VFEF2uhfhBLx25GwAexHJxLZQKAZC&#10;721RzmanxQCoPILUIdDpzeTkm4zfNFrGL00TdGS25sQt5hXzuk1rsbkQVYvCd0buaYh/YNEL4+jR&#10;A9SNiII9ovkLqjcSIUATTyT0BTSNkTrnQNnMZ39kc98Jr3MuVJzgD2UK/w9Wft7dITOq5ovZGWdO&#10;9CTSgx4jewsjK1N9Bh8qCrv3FBhHOiadc67BfwT5PTAH151wrb5ChKHTQhG/ebpZHF2dcEIC2Q6f&#10;QNEz4jFCBhob7FPxqByM0Emnp4M2iYqkw8X58mx+Si5JvtXpYr3O4hWier7tMcT3GnqWNjVH0j6j&#10;i93HEBMbUT2HpMcCWKNujbXZwHZ7bZHtBPXJqixvDui/hVnHhpqfr8pVRnaQ7ucW6k2kPramr/l6&#10;lr6ps1I13jmVQ6IwdtoTE+vys1I7vVBpK6nyKPbcAWMH+668RXBxQrOm7eJX0zI0NF2xQ63vImfK&#10;UEPnEAIOL5DBL9LLWYVU+EmCOG5HOk3SbEE9kR4I01jQGNOmA/zJ2UAjUfPw41Gg5sx+cKTp+Xy5&#10;TDOUjeXqrCQDjz3bY49wkqBqLiNyNhnXMU9eStfBFanfmCzMC5c9W2r2rNe+BGmaju0c9fL72PwC&#10;AAD//wMAUEsDBBQABgAIAAAAIQADqUy94gAAAA8BAAAPAAAAZHJzL2Rvd25yZXYueG1sTI8xT8NA&#10;DIV3JP7DyUhs9I5CA0lzqRCoC1KHBgbYrolJInK+EF/b8O9xp7JYst7z8/vy1eR7dcCRu0AWbmcG&#10;FFIV6o4aC+9v65tHUBwd1a4PhBZ+kWFVXF7kLqvDkbZ4KGOjJIQ4cxbaGIdMa65a9I5nYUAS7SuM&#10;3kVZx0bXoztKuO/13JhEe9eRfGjdgM8tVt/l3lsg4p+wTc1rOpWbwB/8uSnXg7XXV9PLUsbTElTE&#10;KZ4v4MQg/aGQYruwp5pVb+F+cZeIVQQjHCeDeVjMQe0spGkCusj1f47iDwAA//8DAFBLAQItABQA&#10;BgAIAAAAIQC2gziS/gAAAOEBAAATAAAAAAAAAAAAAAAAAAAAAABbQ29udGVudF9UeXBlc10ueG1s&#10;UEsBAi0AFAAGAAgAAAAhADj9If/WAAAAlAEAAAsAAAAAAAAAAAAAAAAALwEAAF9yZWxzLy5yZWxz&#10;UEsBAi0AFAAGAAgAAAAhAFf8KSlZAgAAhgQAAA4AAAAAAAAAAAAAAAAALgIAAGRycy9lMm9Eb2Mu&#10;eG1sUEsBAi0AFAAGAAgAAAAhAAOpTL3iAAAADwEAAA8AAAAAAAAAAAAAAAAAswQAAGRycy9kb3du&#10;cmV2LnhtbFBLBQYAAAAABAAEAPMAAADCBQ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77777777"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3C181801"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77777777" w:rsidR="00D131DA" w:rsidRPr="00D131DA" w:rsidRDefault="00D131DA" w:rsidP="00D131DA">
      <w:pPr>
        <w:spacing w:after="0" w:line="240" w:lineRule="auto"/>
        <w:jc w:val="center"/>
        <w:rPr>
          <w:rFonts w:ascii="Arial" w:hAnsi="Arial" w:cs="Arial"/>
          <w:bCs/>
          <w:sz w:val="28"/>
          <w:szCs w:val="28"/>
        </w:rPr>
      </w:pPr>
    </w:p>
    <w:p w14:paraId="3FD1EF9E" w14:textId="77777777" w:rsidR="00ED0EF7" w:rsidRDefault="00ED0EF7" w:rsidP="00D572F8">
      <w:pPr>
        <w:spacing w:after="0" w:line="240" w:lineRule="auto"/>
        <w:jc w:val="center"/>
        <w:rPr>
          <w:rFonts w:ascii="Arial" w:hAnsi="Arial" w:cs="Arial"/>
          <w:b/>
          <w:sz w:val="44"/>
          <w:szCs w:val="44"/>
        </w:rPr>
      </w:pPr>
      <w:r>
        <w:rPr>
          <w:rFonts w:ascii="Arial" w:hAnsi="Arial" w:cs="Arial"/>
          <w:b/>
          <w:sz w:val="44"/>
          <w:szCs w:val="44"/>
        </w:rPr>
        <w:t xml:space="preserve">Chemical Destruction of Aqueous </w:t>
      </w:r>
    </w:p>
    <w:p w14:paraId="4EFCF8B3" w14:textId="77777777" w:rsidR="00ED0EF7" w:rsidRDefault="00ED0EF7" w:rsidP="00D572F8">
      <w:pPr>
        <w:spacing w:after="0" w:line="240" w:lineRule="auto"/>
        <w:jc w:val="center"/>
        <w:rPr>
          <w:rFonts w:ascii="Arial" w:hAnsi="Arial" w:cs="Arial"/>
          <w:b/>
          <w:sz w:val="44"/>
          <w:szCs w:val="44"/>
        </w:rPr>
      </w:pPr>
      <w:r>
        <w:rPr>
          <w:rFonts w:ascii="Arial" w:hAnsi="Arial" w:cs="Arial"/>
          <w:b/>
          <w:sz w:val="44"/>
          <w:szCs w:val="44"/>
        </w:rPr>
        <w:t xml:space="preserve">Per- and Polyfluoroalkyl Substances (PFAS): </w:t>
      </w:r>
    </w:p>
    <w:p w14:paraId="0C5B275B" w14:textId="70F74B6F" w:rsidR="00D572F8" w:rsidRPr="00ED0EF7" w:rsidRDefault="00ED0EF7" w:rsidP="00ED0EF7">
      <w:pPr>
        <w:spacing w:after="0" w:line="240" w:lineRule="auto"/>
        <w:jc w:val="center"/>
        <w:rPr>
          <w:rFonts w:ascii="Arial" w:hAnsi="Arial" w:cs="Arial"/>
          <w:b/>
          <w:sz w:val="26"/>
          <w:szCs w:val="26"/>
        </w:rPr>
      </w:pPr>
      <w:r>
        <w:rPr>
          <w:rFonts w:ascii="Arial" w:hAnsi="Arial" w:cs="Arial"/>
          <w:b/>
          <w:sz w:val="44"/>
          <w:szCs w:val="44"/>
        </w:rPr>
        <w:t>Are PFAS Truly “Forever Chemicals”?</w:t>
      </w:r>
    </w:p>
    <w:p w14:paraId="7044E2A5" w14:textId="77777777" w:rsidR="00D572F8" w:rsidRDefault="00D572F8" w:rsidP="00D131DA">
      <w:pPr>
        <w:spacing w:after="0" w:line="240" w:lineRule="auto"/>
        <w:jc w:val="center"/>
        <w:rPr>
          <w:rFonts w:ascii="Arial" w:hAnsi="Arial" w:cs="Arial"/>
          <w:b/>
          <w:bCs/>
          <w:sz w:val="26"/>
          <w:szCs w:val="26"/>
        </w:rPr>
      </w:pPr>
    </w:p>
    <w:p w14:paraId="3586DD17" w14:textId="0A052343" w:rsidR="00D131DA" w:rsidRPr="00D131DA" w:rsidRDefault="007A69E3" w:rsidP="00D131DA">
      <w:pPr>
        <w:spacing w:after="0" w:line="240" w:lineRule="auto"/>
        <w:jc w:val="center"/>
        <w:rPr>
          <w:rFonts w:ascii="Arial" w:hAnsi="Arial" w:cs="Arial"/>
          <w:b/>
          <w:bCs/>
          <w:sz w:val="26"/>
          <w:szCs w:val="26"/>
        </w:rPr>
      </w:pPr>
      <w:r>
        <w:rPr>
          <w:rFonts w:ascii="Arial" w:hAnsi="Arial" w:cs="Arial"/>
          <w:b/>
          <w:bCs/>
          <w:sz w:val="26"/>
          <w:szCs w:val="26"/>
        </w:rPr>
        <w:t xml:space="preserve">Dr. </w:t>
      </w:r>
      <w:r w:rsidR="00ED0EF7">
        <w:rPr>
          <w:rFonts w:ascii="Arial" w:hAnsi="Arial" w:cs="Arial"/>
          <w:b/>
          <w:bCs/>
          <w:sz w:val="26"/>
          <w:szCs w:val="26"/>
        </w:rPr>
        <w:t>Michael J. Bentel</w:t>
      </w:r>
    </w:p>
    <w:p w14:paraId="6F34F31A" w14:textId="77777777" w:rsidR="00D572F8" w:rsidRDefault="00D572F8" w:rsidP="00D131DA">
      <w:pPr>
        <w:spacing w:after="0" w:line="240" w:lineRule="auto"/>
        <w:jc w:val="center"/>
        <w:rPr>
          <w:rFonts w:ascii="Arial" w:hAnsi="Arial" w:cs="Arial"/>
          <w:sz w:val="26"/>
          <w:szCs w:val="26"/>
        </w:rPr>
      </w:pPr>
      <w:r>
        <w:rPr>
          <w:rFonts w:ascii="Arial" w:hAnsi="Arial" w:cs="Arial"/>
          <w:sz w:val="26"/>
          <w:szCs w:val="26"/>
        </w:rPr>
        <w:t>Department of Environmental Engineering and Earth Sciences</w:t>
      </w:r>
    </w:p>
    <w:p w14:paraId="0D5EF09B" w14:textId="5AC268A2" w:rsidR="00D131DA" w:rsidRDefault="00D572F8" w:rsidP="00D131DA">
      <w:pPr>
        <w:spacing w:after="0" w:line="240" w:lineRule="auto"/>
        <w:jc w:val="center"/>
        <w:rPr>
          <w:rFonts w:ascii="Arial" w:hAnsi="Arial" w:cs="Arial"/>
          <w:sz w:val="26"/>
          <w:szCs w:val="26"/>
        </w:rPr>
      </w:pPr>
      <w:r>
        <w:rPr>
          <w:rFonts w:ascii="Arial" w:hAnsi="Arial" w:cs="Arial"/>
          <w:sz w:val="26"/>
          <w:szCs w:val="26"/>
        </w:rPr>
        <w:t>Clemson University</w:t>
      </w:r>
    </w:p>
    <w:p w14:paraId="3088FECF" w14:textId="77777777" w:rsidR="00D572F8" w:rsidRPr="00ED0EF7" w:rsidRDefault="00D572F8" w:rsidP="00ED0EF7">
      <w:pPr>
        <w:spacing w:after="0" w:line="240" w:lineRule="auto"/>
        <w:rPr>
          <w:rFonts w:ascii="Arial" w:hAnsi="Arial" w:cs="Arial"/>
          <w:sz w:val="24"/>
          <w:szCs w:val="24"/>
        </w:rPr>
      </w:pPr>
    </w:p>
    <w:p w14:paraId="4FE7BE5E" w14:textId="7472961E" w:rsidR="00D572F8" w:rsidRPr="00ED0EF7" w:rsidRDefault="00ED0EF7" w:rsidP="00ED0EF7">
      <w:pPr>
        <w:spacing w:after="0" w:line="240" w:lineRule="auto"/>
        <w:jc w:val="both"/>
        <w:rPr>
          <w:rFonts w:ascii="Arial" w:hAnsi="Arial" w:cs="Arial"/>
          <w:sz w:val="24"/>
          <w:szCs w:val="24"/>
        </w:rPr>
      </w:pPr>
      <w:r w:rsidRPr="00ED0EF7">
        <w:rPr>
          <w:rFonts w:ascii="Arial" w:hAnsi="Arial" w:cs="Arial"/>
          <w:sz w:val="24"/>
          <w:szCs w:val="24"/>
        </w:rPr>
        <w:t>Per- and polyfluoroalkyl substances (PFAS) comprise a large class of chemically stable compounds causing ubiquitous pollution. Their detrimental effects to humans and the environment are exacerbated by their mobility in aquatic systems. Effective and efficient methods are necessary to chemically destroy these aqueous contaminants. A photochemical system equipped with a 254 nm Hg lamp is used to irradiate an aqueous solution amended with a photosensitizer (</w:t>
      </w:r>
      <w:r w:rsidRPr="00ED0EF7">
        <w:rPr>
          <w:rFonts w:ascii="Arial" w:hAnsi="Arial" w:cs="Arial"/>
          <w:i/>
          <w:iCs/>
          <w:sz w:val="24"/>
          <w:szCs w:val="24"/>
        </w:rPr>
        <w:t>i.e.</w:t>
      </w:r>
      <w:r w:rsidRPr="00ED0EF7">
        <w:rPr>
          <w:rFonts w:ascii="Arial" w:hAnsi="Arial" w:cs="Arial"/>
          <w:sz w:val="24"/>
          <w:szCs w:val="24"/>
        </w:rPr>
        <w:t>, sulfite, SO</w:t>
      </w:r>
      <w:r w:rsidRPr="00ED0EF7">
        <w:rPr>
          <w:rFonts w:ascii="Arial" w:hAnsi="Arial" w:cs="Arial"/>
          <w:sz w:val="24"/>
          <w:szCs w:val="24"/>
          <w:vertAlign w:val="subscript"/>
        </w:rPr>
        <w:t>3</w:t>
      </w:r>
      <w:r w:rsidRPr="00ED0EF7">
        <w:rPr>
          <w:rFonts w:ascii="Arial" w:hAnsi="Arial" w:cs="Arial"/>
          <w:sz w:val="24"/>
          <w:szCs w:val="24"/>
          <w:vertAlign w:val="superscript"/>
        </w:rPr>
        <w:t>2–</w:t>
      </w:r>
      <w:r w:rsidRPr="00ED0EF7">
        <w:rPr>
          <w:rFonts w:ascii="Arial" w:hAnsi="Arial" w:cs="Arial"/>
          <w:sz w:val="24"/>
          <w:szCs w:val="24"/>
        </w:rPr>
        <w:t>), spontaneously generating reactive hydrated electrons (</w:t>
      </w:r>
      <w:proofErr w:type="spellStart"/>
      <w:r w:rsidRPr="00ED0EF7">
        <w:rPr>
          <w:rFonts w:ascii="Arial" w:hAnsi="Arial" w:cs="Arial"/>
          <w:i/>
          <w:iCs/>
          <w:sz w:val="24"/>
          <w:szCs w:val="24"/>
        </w:rPr>
        <w:t>e</w:t>
      </w:r>
      <w:r w:rsidRPr="00ED0EF7">
        <w:rPr>
          <w:rFonts w:ascii="Arial" w:hAnsi="Arial" w:cs="Arial"/>
          <w:sz w:val="24"/>
          <w:szCs w:val="24"/>
          <w:vertAlign w:val="subscript"/>
        </w:rPr>
        <w:t>aq</w:t>
      </w:r>
      <w:proofErr w:type="spellEnd"/>
      <w:r w:rsidRPr="00ED0EF7">
        <w:rPr>
          <w:rFonts w:ascii="Arial" w:hAnsi="Arial" w:cs="Arial"/>
          <w:sz w:val="24"/>
          <w:szCs w:val="24"/>
          <w:vertAlign w:val="superscript"/>
        </w:rPr>
        <w:t>–</w:t>
      </w:r>
      <w:r w:rsidRPr="00ED0EF7">
        <w:rPr>
          <w:rFonts w:ascii="Arial" w:hAnsi="Arial" w:cs="Arial"/>
          <w:sz w:val="24"/>
          <w:szCs w:val="24"/>
        </w:rPr>
        <w:t>) and sulfite radicals (SO</w:t>
      </w:r>
      <w:r w:rsidRPr="00ED0EF7">
        <w:rPr>
          <w:rFonts w:ascii="Arial" w:hAnsi="Arial" w:cs="Arial"/>
          <w:sz w:val="24"/>
          <w:szCs w:val="24"/>
          <w:vertAlign w:val="subscript"/>
        </w:rPr>
        <w:t>3</w:t>
      </w:r>
      <w:r w:rsidRPr="00ED0EF7">
        <w:rPr>
          <w:rFonts w:ascii="Arial" w:hAnsi="Arial" w:cs="Arial"/>
          <w:sz w:val="24"/>
          <w:szCs w:val="24"/>
        </w:rPr>
        <w:softHyphen/>
      </w:r>
      <w:r w:rsidRPr="00ED0EF7">
        <w:rPr>
          <w:rFonts w:ascii="Arial" w:hAnsi="Arial" w:cs="Arial"/>
          <w:sz w:val="24"/>
          <w:szCs w:val="24"/>
          <w:vertAlign w:val="superscript"/>
        </w:rPr>
        <w:t>•–</w:t>
      </w:r>
      <w:r w:rsidRPr="00ED0EF7">
        <w:rPr>
          <w:rFonts w:ascii="Arial" w:hAnsi="Arial" w:cs="Arial"/>
          <w:sz w:val="24"/>
          <w:szCs w:val="24"/>
        </w:rPr>
        <w:t>), to probe the reactivity with PFAS. A systematic investigation using the UV/sulfite system reveal critical structure–reactivity relationships for legacy (</w:t>
      </w:r>
      <w:r w:rsidRPr="00ED0EF7">
        <w:rPr>
          <w:rFonts w:ascii="Arial" w:hAnsi="Arial" w:cs="Arial"/>
          <w:i/>
          <w:iCs/>
          <w:sz w:val="24"/>
          <w:szCs w:val="24"/>
        </w:rPr>
        <w:t>e.g.</w:t>
      </w:r>
      <w:r w:rsidRPr="00ED0EF7">
        <w:rPr>
          <w:rFonts w:ascii="Arial" w:hAnsi="Arial" w:cs="Arial"/>
          <w:sz w:val="24"/>
          <w:szCs w:val="24"/>
        </w:rPr>
        <w:t>, carboxylates, sulfonates, and fluorotelomer carboxylates) and emerging (</w:t>
      </w:r>
      <w:r w:rsidRPr="00ED0EF7">
        <w:rPr>
          <w:rFonts w:ascii="Arial" w:hAnsi="Arial" w:cs="Arial"/>
          <w:i/>
          <w:iCs/>
          <w:sz w:val="24"/>
          <w:szCs w:val="24"/>
        </w:rPr>
        <w:t>e.g.</w:t>
      </w:r>
      <w:r w:rsidRPr="00ED0EF7">
        <w:rPr>
          <w:rFonts w:ascii="Arial" w:hAnsi="Arial" w:cs="Arial"/>
          <w:sz w:val="24"/>
          <w:szCs w:val="24"/>
        </w:rPr>
        <w:t>, ether carboxylates) aqueous PFAS. Decay kinetics, transformation products, and defluorination results (</w:t>
      </w:r>
      <w:r w:rsidRPr="00ED0EF7">
        <w:rPr>
          <w:rFonts w:ascii="Arial" w:hAnsi="Arial" w:cs="Arial"/>
          <w:i/>
          <w:iCs/>
          <w:sz w:val="24"/>
          <w:szCs w:val="24"/>
        </w:rPr>
        <w:t>i.e.</w:t>
      </w:r>
      <w:r w:rsidRPr="00ED0EF7">
        <w:rPr>
          <w:rFonts w:ascii="Arial" w:hAnsi="Arial" w:cs="Arial"/>
          <w:sz w:val="24"/>
          <w:szCs w:val="24"/>
        </w:rPr>
        <w:t>, percent C–F bond cleavage) highlight distinct reaction pathways. Quantum chemical calculations provide molecular-level interpretation of experimental results to elucidate destruction mechanisms. Increased reactivity and deeper defluorination achieves efficient treatment under increasingly basic conditions, where reaction pathways within the UV/sulfite system are thermodynamically mediated. Characterization of reaction solutions show chain-shortened and hydrogen-substituted (i.e., H/F exchange) transformation products. Subsequent oxidation (via heat-activated persulfate) of H/F exchange transformation products leads to complete mineralization, closing the fluorine mass balance. Thus, combined reduction-oxidation treatment scheme shows PFAS can be destroyed completely, demonstrating that PFAS are not forever chemicals</w:t>
      </w:r>
      <w:r w:rsidR="00D572F8" w:rsidRPr="00ED0EF7">
        <w:rPr>
          <w:rFonts w:ascii="Arial" w:hAnsi="Arial" w:cs="Arial"/>
          <w:sz w:val="24"/>
          <w:szCs w:val="24"/>
        </w:rPr>
        <w:t>. </w:t>
      </w:r>
    </w:p>
    <w:p w14:paraId="7B9D5714" w14:textId="65AA9492" w:rsidR="00D572F8" w:rsidRPr="00D572F8" w:rsidRDefault="00D572F8" w:rsidP="00D572F8">
      <w:pPr>
        <w:spacing w:after="0" w:line="240" w:lineRule="auto"/>
        <w:rPr>
          <w:rFonts w:ascii="Arial" w:hAnsi="Arial" w:cs="Arial"/>
          <w:sz w:val="24"/>
          <w:szCs w:val="24"/>
        </w:rPr>
      </w:pPr>
    </w:p>
    <w:p w14:paraId="335883B1" w14:textId="5941E205" w:rsidR="00D131DA" w:rsidRPr="00D131DA" w:rsidRDefault="00D131DA" w:rsidP="00D131DA">
      <w:pPr>
        <w:spacing w:after="0" w:line="240" w:lineRule="auto"/>
        <w:jc w:val="both"/>
        <w:rPr>
          <w:rFonts w:ascii="Arial" w:hAnsi="Arial" w:cs="Arial"/>
        </w:rPr>
      </w:pPr>
    </w:p>
    <w:p w14:paraId="0C753D86" w14:textId="4F88C424" w:rsidR="000C6D8B" w:rsidRDefault="000C6D8B" w:rsidP="00ED0EF7">
      <w:pPr>
        <w:pStyle w:val="Default"/>
        <w:jc w:val="both"/>
        <w:rPr>
          <w:rFonts w:ascii="Arial" w:hAnsi="Arial" w:cs="Arial"/>
          <w:color w:val="auto"/>
        </w:rPr>
      </w:pPr>
      <w:r w:rsidRPr="00FB5243">
        <w:rPr>
          <w:rFonts w:eastAsia="Times New Roman"/>
          <w:noProof/>
        </w:rPr>
        <w:drawing>
          <wp:anchor distT="0" distB="0" distL="114300" distR="114300" simplePos="0" relativeHeight="251661312" behindDoc="1" locked="0" layoutInCell="1" allowOverlap="1" wp14:anchorId="424D440C" wp14:editId="1594FDCC">
            <wp:simplePos x="0" y="0"/>
            <wp:positionH relativeFrom="column">
              <wp:posOffset>5057140</wp:posOffset>
            </wp:positionH>
            <wp:positionV relativeFrom="paragraph">
              <wp:posOffset>43180</wp:posOffset>
            </wp:positionV>
            <wp:extent cx="2188845" cy="3170555"/>
            <wp:effectExtent l="0" t="0" r="0" b="4445"/>
            <wp:wrapTight wrapText="bothSides">
              <wp:wrapPolygon edited="0">
                <wp:start x="0" y="0"/>
                <wp:lineTo x="0" y="21544"/>
                <wp:lineTo x="21431" y="21544"/>
                <wp:lineTo x="21431" y="0"/>
                <wp:lineTo x="0" y="0"/>
              </wp:wrapPolygon>
            </wp:wrapTight>
            <wp:docPr id="1" name="Picture 1" descr="PhD Candi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D Candidat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3490"/>
                    <a:stretch/>
                  </pic:blipFill>
                  <pic:spPr bwMode="auto">
                    <a:xfrm>
                      <a:off x="0" y="0"/>
                      <a:ext cx="2188845" cy="3170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31DA" w:rsidRPr="00D572F8">
        <w:rPr>
          <w:rFonts w:ascii="Arial" w:hAnsi="Arial" w:cs="Arial"/>
          <w:b/>
        </w:rPr>
        <w:t>Bio:</w:t>
      </w:r>
      <w:r w:rsidR="00D131DA" w:rsidRPr="00D572F8">
        <w:rPr>
          <w:rFonts w:ascii="Arial" w:hAnsi="Arial" w:cs="Arial"/>
          <w:b/>
          <w:bCs/>
        </w:rPr>
        <w:t xml:space="preserve"> </w:t>
      </w:r>
      <w:r w:rsidR="00ED0EF7" w:rsidRPr="000C6D8B">
        <w:rPr>
          <w:rFonts w:ascii="Arial" w:hAnsi="Arial" w:cs="Arial"/>
          <w:color w:val="auto"/>
        </w:rPr>
        <w:t xml:space="preserve">Michael J. Bentel received his B.S. in Chemical Engineering (2013) from the University of Illinois at Chicago, M.S. in Inorganic Chemistry (2019) and Ph.D. in Chemical &amp; Environmental Engineering (2020) from the University of California, Riverside. Dr. Bentel joined the Environmental Engineering &amp; Earth Sciences department at Clemson University as a postdoc in the Dr. Ezra Cates lab developing photocatalytic materials for water quality applications. </w:t>
      </w:r>
    </w:p>
    <w:p w14:paraId="2F340103" w14:textId="77777777" w:rsidR="000C6D8B" w:rsidRDefault="000C6D8B" w:rsidP="00ED0EF7">
      <w:pPr>
        <w:pStyle w:val="Default"/>
        <w:jc w:val="both"/>
        <w:rPr>
          <w:rFonts w:ascii="Arial" w:hAnsi="Arial" w:cs="Arial"/>
          <w:color w:val="auto"/>
        </w:rPr>
      </w:pPr>
    </w:p>
    <w:p w14:paraId="47A70FC8" w14:textId="79179971" w:rsidR="00D572F8" w:rsidRPr="000C6D8B" w:rsidRDefault="00ED0EF7" w:rsidP="000C6D8B">
      <w:pPr>
        <w:pStyle w:val="Default"/>
        <w:jc w:val="both"/>
        <w:rPr>
          <w:rFonts w:ascii="Arial" w:hAnsi="Arial" w:cs="Arial"/>
          <w:color w:val="auto"/>
        </w:rPr>
      </w:pPr>
      <w:r w:rsidRPr="000C6D8B">
        <w:rPr>
          <w:rFonts w:ascii="Arial" w:hAnsi="Arial" w:cs="Arial"/>
          <w:color w:val="auto"/>
        </w:rPr>
        <w:t xml:space="preserve">Dr. Bentel has published in </w:t>
      </w:r>
      <w:r w:rsidR="000C6D8B" w:rsidRPr="000C6D8B">
        <w:rPr>
          <w:rFonts w:ascii="Arial" w:hAnsi="Arial" w:cs="Arial"/>
          <w:color w:val="auto"/>
        </w:rPr>
        <w:t xml:space="preserve">leading academic journals including </w:t>
      </w:r>
      <w:r w:rsidR="000C6D8B" w:rsidRPr="000C6D8B">
        <w:rPr>
          <w:rFonts w:ascii="Arial" w:hAnsi="Arial" w:cs="Arial"/>
          <w:i/>
          <w:iCs/>
          <w:color w:val="auto"/>
        </w:rPr>
        <w:t>Environmental Science &amp; Technology</w:t>
      </w:r>
      <w:r w:rsidR="000C6D8B" w:rsidRPr="000C6D8B">
        <w:rPr>
          <w:rFonts w:ascii="Arial" w:hAnsi="Arial" w:cs="Arial"/>
          <w:color w:val="auto"/>
        </w:rPr>
        <w:t xml:space="preserve"> (ES&amp;T) and </w:t>
      </w:r>
      <w:r w:rsidR="000C6D8B" w:rsidRPr="000C6D8B">
        <w:rPr>
          <w:rFonts w:ascii="Arial" w:hAnsi="Arial" w:cs="Arial"/>
          <w:i/>
          <w:iCs/>
          <w:color w:val="auto"/>
        </w:rPr>
        <w:t>ES&amp;T Letters</w:t>
      </w:r>
      <w:r w:rsidR="000C6D8B" w:rsidRPr="000C6D8B">
        <w:rPr>
          <w:rFonts w:ascii="Arial" w:hAnsi="Arial" w:cs="Arial"/>
          <w:color w:val="auto"/>
        </w:rPr>
        <w:t xml:space="preserve"> and </w:t>
      </w:r>
      <w:r w:rsidRPr="000C6D8B">
        <w:rPr>
          <w:rFonts w:ascii="Arial" w:hAnsi="Arial" w:cs="Arial"/>
          <w:color w:val="auto"/>
        </w:rPr>
        <w:t xml:space="preserve">has been recognized by professional organizations including the Association of Environmental Engineering and Science Professors (AEESP, 2021 Outstanding Doctoral Dissertation Award), the American Chemical Society (ACS, 2019 C. Ellen </w:t>
      </w:r>
      <w:proofErr w:type="spellStart"/>
      <w:r w:rsidRPr="000C6D8B">
        <w:rPr>
          <w:rFonts w:ascii="Arial" w:hAnsi="Arial" w:cs="Arial"/>
          <w:color w:val="auto"/>
        </w:rPr>
        <w:t>Gonter</w:t>
      </w:r>
      <w:proofErr w:type="spellEnd"/>
      <w:r w:rsidRPr="000C6D8B">
        <w:rPr>
          <w:rFonts w:ascii="Arial" w:hAnsi="Arial" w:cs="Arial"/>
          <w:color w:val="auto"/>
        </w:rPr>
        <w:t xml:space="preserve"> Environmental Chemistry Best Paper Award and the Committee on Environmental Improvement 2019 Film Award)</w:t>
      </w:r>
      <w:r w:rsidRPr="000C6D8B">
        <w:rPr>
          <w:rFonts w:ascii="Arial" w:eastAsia="Times New Roman" w:hAnsi="Arial" w:cs="Arial"/>
          <w:shd w:val="clear" w:color="auto" w:fill="FFFFFF"/>
        </w:rPr>
        <w:t xml:space="preserve"> and the American Water Works Association (AWWA, 2018 American Water Scholarship) for contributions and advancements towards environmental chemistry and water quality.</w:t>
      </w:r>
      <w:r w:rsidRPr="000C6D8B">
        <w:rPr>
          <w:rFonts w:ascii="Arial" w:hAnsi="Arial" w:cs="Arial"/>
          <w:color w:val="auto"/>
        </w:rPr>
        <w:t xml:space="preserve"> </w:t>
      </w:r>
    </w:p>
    <w:p w14:paraId="360F2D8E" w14:textId="61FB3EFE" w:rsidR="00D572F8" w:rsidRDefault="00D572F8" w:rsidP="00D572F8">
      <w:pPr>
        <w:spacing w:after="0" w:line="240" w:lineRule="auto"/>
        <w:jc w:val="both"/>
        <w:rPr>
          <w:rFonts w:ascii="Arial" w:hAnsi="Arial" w:cs="Arial"/>
          <w:sz w:val="24"/>
          <w:szCs w:val="24"/>
        </w:rPr>
      </w:pPr>
    </w:p>
    <w:p w14:paraId="3A370FF5" w14:textId="77777777" w:rsidR="00D572F8" w:rsidRPr="007A69E3" w:rsidRDefault="00D572F8" w:rsidP="007A69E3">
      <w:pPr>
        <w:spacing w:after="0" w:line="240" w:lineRule="auto"/>
        <w:jc w:val="both"/>
        <w:rPr>
          <w:rFonts w:ascii="Arial" w:hAnsi="Arial" w:cs="Arial"/>
          <w:b/>
          <w:bCs/>
          <w:sz w:val="24"/>
          <w:szCs w:val="24"/>
        </w:rPr>
      </w:pPr>
    </w:p>
    <w:p w14:paraId="3632191F" w14:textId="3FB946B7" w:rsidR="00D131DA" w:rsidRPr="00D131DA" w:rsidRDefault="00D131DA" w:rsidP="00D131DA">
      <w:pPr>
        <w:spacing w:after="0" w:line="240" w:lineRule="auto"/>
        <w:jc w:val="center"/>
        <w:rPr>
          <w:rFonts w:ascii="Arial" w:hAnsi="Arial" w:cs="Arial"/>
          <w:b/>
          <w:color w:val="FF0000"/>
          <w:sz w:val="32"/>
          <w:szCs w:val="32"/>
        </w:rPr>
      </w:pPr>
      <w:r w:rsidRPr="00D131DA">
        <w:rPr>
          <w:rFonts w:ascii="Arial" w:hAnsi="Arial" w:cs="Arial"/>
          <w:b/>
          <w:color w:val="FF0000"/>
          <w:sz w:val="32"/>
          <w:szCs w:val="32"/>
        </w:rPr>
        <w:t>2:30 PM</w:t>
      </w:r>
    </w:p>
    <w:p w14:paraId="6C9EE8FE" w14:textId="23CC5576" w:rsidR="00D131DA" w:rsidRDefault="00D131DA" w:rsidP="00D131DA">
      <w:pPr>
        <w:spacing w:after="0" w:line="240" w:lineRule="auto"/>
        <w:jc w:val="center"/>
        <w:rPr>
          <w:rFonts w:ascii="Arial" w:hAnsi="Arial" w:cs="Arial"/>
          <w:b/>
          <w:sz w:val="32"/>
          <w:szCs w:val="32"/>
        </w:rPr>
      </w:pPr>
      <w:r w:rsidRPr="00D131DA">
        <w:rPr>
          <w:rFonts w:ascii="Arial" w:hAnsi="Arial" w:cs="Arial"/>
          <w:b/>
          <w:sz w:val="32"/>
          <w:szCs w:val="32"/>
        </w:rPr>
        <w:t xml:space="preserve">Friday, </w:t>
      </w:r>
      <w:r w:rsidR="00ED0EF7">
        <w:rPr>
          <w:rFonts w:ascii="Arial" w:hAnsi="Arial" w:cs="Arial"/>
          <w:b/>
          <w:sz w:val="32"/>
          <w:szCs w:val="32"/>
        </w:rPr>
        <w:t>October</w:t>
      </w:r>
      <w:r w:rsidRPr="00D131DA">
        <w:rPr>
          <w:rFonts w:ascii="Arial" w:hAnsi="Arial" w:cs="Arial"/>
          <w:b/>
          <w:sz w:val="32"/>
          <w:szCs w:val="32"/>
        </w:rPr>
        <w:t xml:space="preserve"> </w:t>
      </w:r>
      <w:r w:rsidR="00ED0EF7">
        <w:rPr>
          <w:rFonts w:ascii="Arial" w:hAnsi="Arial" w:cs="Arial"/>
          <w:b/>
          <w:sz w:val="32"/>
          <w:szCs w:val="32"/>
        </w:rPr>
        <w:t>8</w:t>
      </w:r>
      <w:r w:rsidRPr="00D131DA">
        <w:rPr>
          <w:rFonts w:ascii="Arial" w:hAnsi="Arial" w:cs="Arial"/>
          <w:b/>
          <w:sz w:val="32"/>
          <w:szCs w:val="32"/>
        </w:rPr>
        <w:t>, 2021</w:t>
      </w:r>
    </w:p>
    <w:p w14:paraId="774D9199" w14:textId="7669AC51" w:rsidR="00D24DBF" w:rsidRPr="00D131DA" w:rsidRDefault="00D24DBF" w:rsidP="00D131DA">
      <w:pPr>
        <w:spacing w:after="0" w:line="240" w:lineRule="auto"/>
        <w:jc w:val="center"/>
        <w:rPr>
          <w:rFonts w:ascii="Arial" w:hAnsi="Arial" w:cs="Arial"/>
          <w:b/>
          <w:sz w:val="32"/>
          <w:szCs w:val="32"/>
        </w:rPr>
      </w:pPr>
      <w:r>
        <w:rPr>
          <w:rFonts w:ascii="Arial" w:hAnsi="Arial" w:cs="Arial"/>
          <w:b/>
          <w:sz w:val="32"/>
          <w:szCs w:val="32"/>
        </w:rPr>
        <w:t>Rich Lab Auditorium</w:t>
      </w:r>
    </w:p>
    <w:p w14:paraId="3AFA985F" w14:textId="7F2D54FB" w:rsidR="00D131DA" w:rsidRPr="00D131DA" w:rsidRDefault="00D131DA" w:rsidP="00D131DA">
      <w:pPr>
        <w:spacing w:after="0" w:line="240" w:lineRule="auto"/>
        <w:jc w:val="center"/>
        <w:rPr>
          <w:rFonts w:ascii="Arial" w:hAnsi="Arial" w:cs="Arial"/>
          <w:b/>
          <w:sz w:val="28"/>
          <w:szCs w:val="28"/>
        </w:rPr>
      </w:pPr>
    </w:p>
    <w:p w14:paraId="3AB453BF" w14:textId="0C87FB49" w:rsidR="00D131DA" w:rsidRPr="00D131DA" w:rsidRDefault="00D24DBF" w:rsidP="00D131DA">
      <w:pPr>
        <w:spacing w:after="0" w:line="240" w:lineRule="auto"/>
        <w:jc w:val="center"/>
        <w:rPr>
          <w:rFonts w:ascii="Arial" w:hAnsi="Arial" w:cs="Arial"/>
          <w:b/>
          <w:sz w:val="28"/>
          <w:szCs w:val="28"/>
        </w:rPr>
      </w:pPr>
      <w:r>
        <w:rPr>
          <w:rFonts w:ascii="Arial" w:hAnsi="Arial" w:cs="Arial"/>
          <w:b/>
          <w:sz w:val="28"/>
          <w:szCs w:val="28"/>
        </w:rPr>
        <w:t>Also available o</w:t>
      </w:r>
      <w:r w:rsidR="00D131DA" w:rsidRPr="00D131DA">
        <w:rPr>
          <w:rFonts w:ascii="Arial" w:hAnsi="Arial" w:cs="Arial"/>
          <w:b/>
          <w:sz w:val="28"/>
          <w:szCs w:val="28"/>
        </w:rPr>
        <w:t>nline via Zoom</w:t>
      </w:r>
      <w:r>
        <w:rPr>
          <w:rFonts w:ascii="Arial" w:hAnsi="Arial" w:cs="Arial"/>
          <w:b/>
          <w:sz w:val="28"/>
          <w:szCs w:val="28"/>
        </w:rPr>
        <w:t>:</w:t>
      </w:r>
    </w:p>
    <w:p w14:paraId="46324BAA" w14:textId="5AE65E66" w:rsidR="00D131DA" w:rsidRPr="00D131DA" w:rsidRDefault="00B64632" w:rsidP="00D131DA">
      <w:pPr>
        <w:spacing w:after="0" w:line="240" w:lineRule="auto"/>
        <w:jc w:val="center"/>
        <w:rPr>
          <w:rFonts w:ascii="Arial" w:hAnsi="Arial" w:cs="Arial"/>
          <w:sz w:val="28"/>
          <w:szCs w:val="28"/>
        </w:rPr>
      </w:pPr>
      <w:hyperlink r:id="rId6" w:history="1">
        <w:r w:rsidR="00D131DA" w:rsidRPr="00AB46DD">
          <w:rPr>
            <w:rStyle w:val="Hyperlink"/>
            <w:rFonts w:ascii="Arial" w:hAnsi="Arial" w:cs="Arial"/>
            <w:sz w:val="28"/>
            <w:szCs w:val="28"/>
          </w:rPr>
          <w:t>https://clemson.zoom.us/j/5783910968</w:t>
        </w:r>
      </w:hyperlink>
      <w:r w:rsidR="00D131DA">
        <w:rPr>
          <w:rFonts w:ascii="Arial" w:hAnsi="Arial" w:cs="Arial"/>
          <w:sz w:val="28"/>
          <w:szCs w:val="28"/>
        </w:rPr>
        <w:t xml:space="preserve"> </w:t>
      </w:r>
    </w:p>
    <w:p w14:paraId="25FBC82B" w14:textId="7B358502" w:rsidR="00894F6F" w:rsidRPr="00D131DA" w:rsidRDefault="00894F6F" w:rsidP="00D131DA">
      <w:pPr>
        <w:spacing w:after="0" w:line="240" w:lineRule="auto"/>
        <w:jc w:val="center"/>
        <w:rPr>
          <w:rFonts w:ascii="Arial" w:hAnsi="Arial" w:cs="Arial"/>
          <w:sz w:val="28"/>
          <w:szCs w:val="28"/>
        </w:rPr>
      </w:pPr>
    </w:p>
    <w:p w14:paraId="4F3CA81E" w14:textId="515C5F72" w:rsidR="00D131DA" w:rsidRPr="00D131DA" w:rsidRDefault="00D131DA" w:rsidP="00D131DA">
      <w:pPr>
        <w:spacing w:after="0" w:line="240" w:lineRule="auto"/>
        <w:jc w:val="center"/>
        <w:rPr>
          <w:rFonts w:ascii="Arial" w:hAnsi="Arial" w:cs="Arial"/>
          <w:b/>
          <w:bCs/>
          <w:i/>
          <w:iCs/>
          <w:color w:val="F66733"/>
          <w:sz w:val="24"/>
          <w:szCs w:val="24"/>
        </w:rPr>
      </w:pPr>
      <w:r w:rsidRPr="00D131DA">
        <w:rPr>
          <w:rFonts w:ascii="Arial" w:hAnsi="Arial" w:cs="Arial"/>
          <w:b/>
          <w:bCs/>
          <w:i/>
          <w:iCs/>
          <w:color w:val="F66733"/>
          <w:sz w:val="24"/>
          <w:szCs w:val="24"/>
        </w:rPr>
        <w:t>Attendance is mandatory for graduate students enrolled in EES 8610, EES 9610, and GEOL 8510.</w:t>
      </w:r>
    </w:p>
    <w:sectPr w:rsidR="00D131DA" w:rsidRPr="00D131DA" w:rsidSect="00D62AD4">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C6D8B"/>
    <w:rsid w:val="0070375C"/>
    <w:rsid w:val="007A69E3"/>
    <w:rsid w:val="00894F6F"/>
    <w:rsid w:val="00B151BB"/>
    <w:rsid w:val="00B43625"/>
    <w:rsid w:val="00B64632"/>
    <w:rsid w:val="00B7664C"/>
    <w:rsid w:val="00C92576"/>
    <w:rsid w:val="00CE4C51"/>
    <w:rsid w:val="00D131DA"/>
    <w:rsid w:val="00D24DBF"/>
    <w:rsid w:val="00D572F8"/>
    <w:rsid w:val="00ED0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emson.zoom.us/j/5783910968"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cp:lastPrinted>2021-10-05T16:41:00Z</cp:lastPrinted>
  <dcterms:created xsi:type="dcterms:W3CDTF">2021-10-05T16:42:00Z</dcterms:created>
  <dcterms:modified xsi:type="dcterms:W3CDTF">2021-10-05T16:42:00Z</dcterms:modified>
</cp:coreProperties>
</file>