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869" w:rsidRDefault="001737E2" w:rsidP="006C7CFD">
      <w:pPr>
        <w:spacing w:after="0" w:line="240" w:lineRule="auto"/>
        <w:ind w:left="-90" w:firstLine="180"/>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2880360</wp:posOffset>
                </wp:positionH>
                <wp:positionV relativeFrom="paragraph">
                  <wp:posOffset>68580</wp:posOffset>
                </wp:positionV>
                <wp:extent cx="3947160" cy="563880"/>
                <wp:effectExtent l="57150" t="57150" r="53340" b="457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63880"/>
                        </a:xfrm>
                        <a:prstGeom prst="rect">
                          <a:avLst/>
                        </a:prstGeom>
                        <a:solidFill>
                          <a:srgbClr val="522D80"/>
                        </a:solidFill>
                        <a:ln w="9525">
                          <a:noFill/>
                          <a:miter lim="800000"/>
                          <a:headEnd/>
                          <a:tailEnd/>
                        </a:ln>
                        <a:scene3d>
                          <a:camera prst="orthographicFront"/>
                          <a:lightRig rig="threePt" dir="t"/>
                        </a:scene3d>
                        <a:sp3d/>
                      </wps:spPr>
                      <wps:txbx>
                        <w:txbxContent>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Environmental Engineering</w:t>
                            </w:r>
                          </w:p>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and Earth Sciences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6.8pt;margin-top:5.4pt;width:310.8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" fillcolor="#522d80" stroked="f">
                <v:textbox>
                  <w:txbxContent>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Environmental Engineering</w:t>
                      </w:r>
                    </w:p>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and Earth Sciences</w:t>
                      </w:r>
                    </w:p>
                  </w:txbxContent>
                </v:textbox>
              </v:shape>
            </w:pict>
          </mc:Fallback>
        </mc:AlternateContent>
      </w:r>
      <w:r w:rsidR="00935903">
        <w:rPr>
          <w:noProof/>
        </w:rPr>
        <w:drawing>
          <wp:inline distT="0" distB="0" distL="0" distR="0">
            <wp:extent cx="2838746" cy="746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mark-academ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0453" cy="747209"/>
                    </a:xfrm>
                    <a:prstGeom prst="rect">
                      <a:avLst/>
                    </a:prstGeom>
                  </pic:spPr>
                </pic:pic>
              </a:graphicData>
            </a:graphic>
          </wp:inline>
        </w:drawing>
      </w:r>
    </w:p>
    <w:p w:rsidR="00E17D17" w:rsidRPr="006C7CFD" w:rsidRDefault="00E17D17" w:rsidP="00E17D17">
      <w:pPr>
        <w:spacing w:after="0" w:line="240" w:lineRule="auto"/>
        <w:rPr>
          <w:noProof/>
        </w:rPr>
      </w:pPr>
    </w:p>
    <w:p w:rsidR="00EC7AC9" w:rsidRPr="00755132" w:rsidRDefault="00935903" w:rsidP="00CB0B08">
      <w:pPr>
        <w:tabs>
          <w:tab w:val="left" w:pos="90"/>
        </w:tabs>
        <w:spacing w:after="0" w:line="240" w:lineRule="auto"/>
        <w:ind w:left="-180"/>
        <w:jc w:val="center"/>
        <w:rPr>
          <w:rFonts w:ascii="Verdana" w:eastAsia="Calibri" w:hAnsi="Verdana" w:cs="Times New Roman"/>
          <w:b/>
          <w:color w:val="F66733"/>
          <w:sz w:val="56"/>
          <w:szCs w:val="64"/>
        </w:rPr>
      </w:pPr>
      <w:r w:rsidRPr="00755132">
        <w:rPr>
          <w:rFonts w:ascii="Verdana" w:eastAsia="Calibri" w:hAnsi="Verdana" w:cs="Times New Roman"/>
          <w:b/>
          <w:color w:val="F66733"/>
          <w:sz w:val="56"/>
          <w:szCs w:val="64"/>
        </w:rPr>
        <w:t>EEES Department Seminar</w:t>
      </w:r>
    </w:p>
    <w:p w:rsidR="00AA5869" w:rsidRPr="00D3195E" w:rsidRDefault="00AA5869" w:rsidP="00EC7AC9">
      <w:pPr>
        <w:tabs>
          <w:tab w:val="left" w:pos="90"/>
        </w:tabs>
        <w:spacing w:after="0" w:line="240" w:lineRule="auto"/>
        <w:jc w:val="center"/>
        <w:rPr>
          <w:rFonts w:ascii="Verdana" w:eastAsia="Calibri" w:hAnsi="Verdana" w:cs="Times New Roman"/>
          <w:b/>
          <w:color w:val="F66733"/>
        </w:rPr>
      </w:pPr>
    </w:p>
    <w:tbl>
      <w:tblPr>
        <w:tblW w:w="12060" w:type="dxa"/>
        <w:jc w:val="center"/>
        <w:tblCellSpacing w:w="0" w:type="dxa"/>
        <w:tblCellMar>
          <w:left w:w="0" w:type="dxa"/>
          <w:right w:w="0" w:type="dxa"/>
        </w:tblCellMar>
        <w:tblLook w:val="04A0" w:firstRow="1" w:lastRow="0" w:firstColumn="1" w:lastColumn="0" w:noHBand="0" w:noVBand="1"/>
      </w:tblPr>
      <w:tblGrid>
        <w:gridCol w:w="1170"/>
        <w:gridCol w:w="10890"/>
      </w:tblGrid>
      <w:tr w:rsidR="00D65ABD" w:rsidTr="00272E55">
        <w:trPr>
          <w:tblCellSpacing w:w="0" w:type="dxa"/>
          <w:jc w:val="center"/>
        </w:trPr>
        <w:tc>
          <w:tcPr>
            <w:tcW w:w="12060" w:type="dxa"/>
            <w:gridSpan w:val="2"/>
            <w:hideMark/>
          </w:tcPr>
          <w:p w:rsidR="00272E55" w:rsidRPr="00272E55" w:rsidRDefault="00272E55" w:rsidP="00272E55">
            <w:pPr>
              <w:jc w:val="center"/>
              <w:rPr>
                <w:rFonts w:ascii="Gill Sans MT" w:hAnsi="Gill Sans MT"/>
                <w:b/>
                <w:sz w:val="32"/>
                <w:szCs w:val="28"/>
              </w:rPr>
            </w:pPr>
            <w:r w:rsidRPr="00272E55">
              <w:rPr>
                <w:rFonts w:ascii="Gill Sans MT" w:hAnsi="Gill Sans MT"/>
                <w:b/>
                <w:sz w:val="32"/>
                <w:szCs w:val="28"/>
              </w:rPr>
              <w:t>Environmental Health &amp; Safety Engineering – Unlimited Applications</w:t>
            </w:r>
          </w:p>
          <w:p w:rsidR="00272E55" w:rsidRPr="00272E55" w:rsidRDefault="00272E55" w:rsidP="00272E55">
            <w:pPr>
              <w:jc w:val="center"/>
              <w:rPr>
                <w:rFonts w:ascii="Gill Sans MT" w:hAnsi="Gill Sans MT"/>
                <w:sz w:val="32"/>
              </w:rPr>
            </w:pPr>
            <w:r w:rsidRPr="00272E55">
              <w:rPr>
                <w:rFonts w:ascii="Gill Sans MT" w:hAnsi="Gill Sans MT"/>
                <w:sz w:val="32"/>
              </w:rPr>
              <w:t>Tad Goetcheus, P.E.</w:t>
            </w:r>
          </w:p>
          <w:p w:rsidR="00272E55" w:rsidRPr="00272E55" w:rsidRDefault="00272E55" w:rsidP="00272E55">
            <w:pPr>
              <w:jc w:val="center"/>
              <w:rPr>
                <w:rFonts w:ascii="Gill Sans MT" w:hAnsi="Gill Sans MT"/>
                <w:i/>
                <w:iCs/>
                <w:sz w:val="32"/>
              </w:rPr>
            </w:pPr>
            <w:r w:rsidRPr="00272E55">
              <w:rPr>
                <w:rFonts w:ascii="Gill Sans MT" w:hAnsi="Gill Sans MT"/>
                <w:i/>
                <w:iCs/>
                <w:sz w:val="32"/>
              </w:rPr>
              <w:t>HRP Associates, Inc.</w:t>
            </w:r>
          </w:p>
          <w:p w:rsidR="00272E55" w:rsidRPr="00272E55" w:rsidRDefault="00272E55" w:rsidP="00272E55">
            <w:pPr>
              <w:rPr>
                <w:rFonts w:ascii="Gill Sans MT" w:hAnsi="Gill Sans MT"/>
                <w:sz w:val="28"/>
              </w:rPr>
            </w:pPr>
            <w:r w:rsidRPr="00272E55">
              <w:rPr>
                <w:rFonts w:ascii="Gill Sans MT" w:hAnsi="Gill Sans MT"/>
                <w:sz w:val="28"/>
              </w:rPr>
              <w:t>The depth of the EH&amp; S Engineering practice has grown exponentially in the past two decades. Today’s global economy has increased pressure on the marketplace including industry, banking, commercial, legal, and healthcare sectors for growth and sustainability. Public and private interaction and input, whether it be positive or negative, has grown the impact of EH&amp;S engineering participation at the table. HRP has explored, succeeded, been significantly challenged as a part of this changing marketplace for over 35 years. As such, HRP will present an overview of the EH&amp; S engineering field along with key relationships, changes, focus points, case studies and tomorrow’s problems which need solutions on a global level.</w:t>
            </w:r>
          </w:p>
          <w:p w:rsidR="00272E55" w:rsidRPr="00272E55" w:rsidRDefault="00272E55" w:rsidP="00272E55">
            <w:pPr>
              <w:rPr>
                <w:rFonts w:ascii="Gill Sans MT" w:hAnsi="Gill Sans MT"/>
                <w:sz w:val="28"/>
              </w:rPr>
            </w:pPr>
          </w:p>
          <w:p w:rsidR="00272E55" w:rsidRPr="00272E55" w:rsidRDefault="00272E55" w:rsidP="00272E55">
            <w:pPr>
              <w:rPr>
                <w:rFonts w:ascii="Gill Sans MT" w:hAnsi="Gill Sans MT"/>
                <w:i/>
                <w:iCs/>
                <w:sz w:val="28"/>
              </w:rPr>
            </w:pPr>
            <w:r w:rsidRPr="00272E55">
              <w:rPr>
                <w:rFonts w:ascii="Gill Sans MT" w:hAnsi="Gill Sans MT"/>
                <w:i/>
                <w:iCs/>
                <w:sz w:val="28"/>
              </w:rPr>
              <w:t>About the speaker:</w:t>
            </w:r>
          </w:p>
          <w:p w:rsidR="00272E55" w:rsidRPr="00272E55" w:rsidRDefault="00272E55" w:rsidP="00272E55">
            <w:pPr>
              <w:rPr>
                <w:rFonts w:ascii="Gill Sans MT" w:hAnsi="Gill Sans MT"/>
                <w:sz w:val="28"/>
              </w:rPr>
            </w:pPr>
            <w:r w:rsidRPr="00272E55">
              <w:rPr>
                <w:rFonts w:ascii="Gill Sans MT" w:hAnsi="Gill Sans MT"/>
                <w:noProof/>
                <w:sz w:val="28"/>
              </w:rPr>
              <w:drawing>
                <wp:anchor distT="0" distB="0" distL="114300" distR="114300" simplePos="0" relativeHeight="251663360" behindDoc="0" locked="0" layoutInCell="1" allowOverlap="1" wp14:anchorId="4F990B91" wp14:editId="3D5DA533">
                  <wp:simplePos x="0" y="0"/>
                  <wp:positionH relativeFrom="column">
                    <wp:posOffset>0</wp:posOffset>
                  </wp:positionH>
                  <wp:positionV relativeFrom="paragraph">
                    <wp:posOffset>175895</wp:posOffset>
                  </wp:positionV>
                  <wp:extent cx="1537970" cy="20275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37970" cy="2027555"/>
                          </a:xfrm>
                          <a:prstGeom prst="rect">
                            <a:avLst/>
                          </a:prstGeom>
                        </pic:spPr>
                      </pic:pic>
                    </a:graphicData>
                  </a:graphic>
                  <wp14:sizeRelH relativeFrom="page">
                    <wp14:pctWidth>0</wp14:pctWidth>
                  </wp14:sizeRelH>
                  <wp14:sizeRelV relativeFrom="page">
                    <wp14:pctHeight>0</wp14:pctHeight>
                  </wp14:sizeRelV>
                </wp:anchor>
              </w:drawing>
            </w:r>
          </w:p>
          <w:p w:rsidR="00272E55" w:rsidRPr="00272E55" w:rsidRDefault="00272E55" w:rsidP="00272E55">
            <w:pPr>
              <w:rPr>
                <w:rFonts w:ascii="Gill Sans MT" w:hAnsi="Gill Sans MT"/>
                <w:sz w:val="28"/>
              </w:rPr>
            </w:pPr>
            <w:r w:rsidRPr="00272E55">
              <w:rPr>
                <w:rFonts w:ascii="Gill Sans MT" w:hAnsi="Gill Sans MT"/>
                <w:sz w:val="28"/>
              </w:rPr>
              <w:t xml:space="preserve">Tad Goetcheus, P.E. has over 31 years of experience as an environmental engineering and risk management consultant, specializing in the areas of environmental health and safety (EH&amp;S). At HRP he has held the positions of Senior Compliance Engineer, Project Manager, Regional Manager, and prior to his current role Executive Vice President of Operations Development where his responsibilities included the operational general management, financial performance, business development and technical support to a project and management staff of engineers, scientists and geologists. Tad initiated the first expansion of HRP in </w:t>
            </w:r>
            <w:proofErr w:type="gramStart"/>
            <w:r w:rsidRPr="00272E55">
              <w:rPr>
                <w:rFonts w:ascii="Gill Sans MT" w:hAnsi="Gill Sans MT"/>
                <w:sz w:val="28"/>
              </w:rPr>
              <w:t>South Carolina, and</w:t>
            </w:r>
            <w:proofErr w:type="gramEnd"/>
            <w:r w:rsidRPr="00272E55">
              <w:rPr>
                <w:rFonts w:ascii="Gill Sans MT" w:hAnsi="Gill Sans MT"/>
                <w:sz w:val="28"/>
              </w:rPr>
              <w:t xml:space="preserve"> has been a major contributor to additional regional office start-ups, and Fortune 500 client acquisition, both domestically and internationally. As COO/President, Tad leads the Board of Directors, as well as strategic planning, quality control, human resources, business development, and staff mentoring initiatives. </w:t>
            </w:r>
          </w:p>
          <w:p w:rsidR="00272E55" w:rsidRPr="00272E55" w:rsidRDefault="00272E55" w:rsidP="00272E55">
            <w:pPr>
              <w:rPr>
                <w:rFonts w:ascii="Gill Sans MT" w:hAnsi="Gill Sans MT"/>
                <w:sz w:val="28"/>
              </w:rPr>
            </w:pPr>
          </w:p>
          <w:p w:rsidR="00272E55" w:rsidRPr="00272E55" w:rsidRDefault="00272E55" w:rsidP="00272E55">
            <w:pPr>
              <w:rPr>
                <w:rFonts w:ascii="Gill Sans MT" w:hAnsi="Gill Sans MT"/>
                <w:sz w:val="28"/>
              </w:rPr>
            </w:pPr>
            <w:r w:rsidRPr="00272E55">
              <w:rPr>
                <w:rFonts w:ascii="Gill Sans MT" w:hAnsi="Gill Sans MT"/>
                <w:sz w:val="28"/>
              </w:rPr>
              <w:t xml:space="preserve">Mr. Goetcheus has performed over 2,000 site EH&amp;S compliance projects for a wide variety of industrial facilities, military facilities, and universities. The EH&amp;S Projects have consisted of review and critique of procedures, plans, permits standard operating procedures and practices. Throughout his career, Mr. Goetcheus has developed a strong working knowledge of the principle Federal and State Environmental Laws and Regulations including RCRA, CAA, CWA, TSCA, EPCRA, FIFRA, CERCLA, and OSHA. in addition to ISO14001 standards. Included with this experience is the project management of 35 hazardous waste and RCRA project assignments for the Southern Division Naval Facilities Engineering Command during a five-year contract. </w:t>
            </w:r>
            <w:r w:rsidRPr="00272E55">
              <w:rPr>
                <w:rFonts w:ascii="Gill Sans MT" w:hAnsi="Gill Sans MT"/>
                <w:sz w:val="28"/>
              </w:rPr>
              <w:t>Mr.</w:t>
            </w:r>
            <w:r w:rsidRPr="00272E55">
              <w:rPr>
                <w:rFonts w:ascii="Gill Sans MT" w:hAnsi="Gill Sans MT"/>
                <w:sz w:val="28"/>
              </w:rPr>
              <w:t xml:space="preserve"> Goe</w:t>
            </w:r>
            <w:bookmarkStart w:id="0" w:name="_GoBack"/>
            <w:bookmarkEnd w:id="0"/>
            <w:r w:rsidRPr="00272E55">
              <w:rPr>
                <w:rFonts w:ascii="Gill Sans MT" w:hAnsi="Gill Sans MT"/>
                <w:sz w:val="28"/>
              </w:rPr>
              <w:t xml:space="preserve">tcheus also has extensive experience with Due Diligence projects (ASTM Phase I/II/PCA) and has supervised and/ or completed over 1,000 projects in his career. </w:t>
            </w:r>
          </w:p>
          <w:p w:rsidR="00272E55" w:rsidRPr="00272E55" w:rsidRDefault="00272E55" w:rsidP="00272E55">
            <w:pPr>
              <w:rPr>
                <w:rFonts w:ascii="Gill Sans MT" w:hAnsi="Gill Sans MT"/>
                <w:sz w:val="28"/>
              </w:rPr>
            </w:pPr>
          </w:p>
          <w:p w:rsidR="00272E55" w:rsidRPr="00272E55" w:rsidRDefault="00272E55" w:rsidP="00272E55">
            <w:pPr>
              <w:rPr>
                <w:rFonts w:ascii="Gill Sans MT" w:hAnsi="Gill Sans MT"/>
                <w:sz w:val="28"/>
              </w:rPr>
            </w:pPr>
            <w:r w:rsidRPr="00272E55">
              <w:rPr>
                <w:rFonts w:ascii="Gill Sans MT" w:hAnsi="Gill Sans MT"/>
                <w:sz w:val="28"/>
              </w:rPr>
              <w:t xml:space="preserve">Mr. Goetcheus holds a B.S. in Chemical Engineering from Clarkson University, is a registered P.E. in 20 States. </w:t>
            </w:r>
          </w:p>
          <w:p w:rsidR="00D65ABD" w:rsidRPr="00272E55" w:rsidRDefault="00D65ABD">
            <w:pPr>
              <w:rPr>
                <w:rFonts w:ascii="Times New Roman" w:eastAsia="Times New Roman" w:hAnsi="Times New Roman" w:cs="Times New Roman"/>
                <w:sz w:val="32"/>
                <w:szCs w:val="20"/>
              </w:rPr>
            </w:pPr>
          </w:p>
        </w:tc>
      </w:tr>
      <w:tr w:rsidR="00D65ABD" w:rsidTr="00272E55">
        <w:trPr>
          <w:gridBefore w:val="1"/>
          <w:wBefore w:w="1170" w:type="dxa"/>
          <w:tblCellSpacing w:w="0" w:type="dxa"/>
          <w:jc w:val="center"/>
        </w:trPr>
        <w:tc>
          <w:tcPr>
            <w:tcW w:w="1089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890"/>
            </w:tblGrid>
            <w:tr w:rsidR="00D65ABD" w:rsidRPr="00272E55">
              <w:trPr>
                <w:tblCellSpacing w:w="0" w:type="dxa"/>
                <w:jc w:val="center"/>
              </w:trPr>
              <w:tc>
                <w:tcPr>
                  <w:tcW w:w="0" w:type="auto"/>
                  <w:tcMar>
                    <w:top w:w="150" w:type="dxa"/>
                    <w:left w:w="150" w:type="dxa"/>
                    <w:bottom w:w="150" w:type="dxa"/>
                    <w:right w:w="150" w:type="dxa"/>
                  </w:tcMar>
                  <w:vAlign w:val="center"/>
                  <w:hideMark/>
                </w:tcPr>
                <w:p w:rsidR="00D65ABD" w:rsidRPr="00272E55" w:rsidRDefault="00D65ABD">
                  <w:pPr>
                    <w:rPr>
                      <w:rFonts w:ascii="Times New Roman" w:eastAsia="Times New Roman" w:hAnsi="Times New Roman" w:cs="Times New Roman"/>
                      <w:sz w:val="32"/>
                      <w:szCs w:val="20"/>
                    </w:rPr>
                  </w:pPr>
                </w:p>
              </w:tc>
            </w:tr>
          </w:tbl>
          <w:p w:rsidR="00D65ABD" w:rsidRPr="00272E55" w:rsidRDefault="00D65ABD">
            <w:pPr>
              <w:jc w:val="center"/>
              <w:rPr>
                <w:rFonts w:ascii="Times New Roman" w:eastAsia="Times New Roman" w:hAnsi="Times New Roman" w:cs="Times New Roman"/>
                <w:sz w:val="32"/>
                <w:szCs w:val="20"/>
              </w:rPr>
            </w:pPr>
          </w:p>
        </w:tc>
      </w:tr>
    </w:tbl>
    <w:p w:rsidR="001E7C66" w:rsidRPr="00272E55" w:rsidRDefault="00944848" w:rsidP="00944848">
      <w:pPr>
        <w:spacing w:after="240" w:line="240" w:lineRule="auto"/>
        <w:jc w:val="center"/>
        <w:rPr>
          <w:rFonts w:ascii="Verdana" w:eastAsia="Calibri" w:hAnsi="Verdana" w:cs="Times New Roman"/>
          <w:b/>
          <w:i/>
          <w:sz w:val="28"/>
          <w:szCs w:val="36"/>
        </w:rPr>
      </w:pPr>
      <w:r w:rsidRPr="00272E55">
        <w:rPr>
          <w:rFonts w:ascii="Verdana" w:eastAsia="Calibri" w:hAnsi="Verdana" w:cs="Times New Roman"/>
          <w:b/>
          <w:i/>
          <w:sz w:val="28"/>
          <w:szCs w:val="36"/>
        </w:rPr>
        <w:t xml:space="preserve">Friday, </w:t>
      </w:r>
      <w:r w:rsidR="00D65ABD" w:rsidRPr="00272E55">
        <w:rPr>
          <w:rFonts w:ascii="Verdana" w:eastAsia="Calibri" w:hAnsi="Verdana" w:cs="Times New Roman"/>
          <w:b/>
          <w:i/>
          <w:sz w:val="28"/>
          <w:szCs w:val="36"/>
        </w:rPr>
        <w:t xml:space="preserve">October </w:t>
      </w:r>
      <w:r w:rsidR="00272E55">
        <w:rPr>
          <w:rFonts w:ascii="Verdana" w:eastAsia="Calibri" w:hAnsi="Verdana" w:cs="Times New Roman"/>
          <w:b/>
          <w:i/>
          <w:sz w:val="28"/>
          <w:szCs w:val="36"/>
        </w:rPr>
        <w:t>4</w:t>
      </w:r>
      <w:r w:rsidR="001E7C66" w:rsidRPr="00272E55">
        <w:rPr>
          <w:rFonts w:ascii="Verdana" w:eastAsia="Calibri" w:hAnsi="Verdana" w:cs="Times New Roman"/>
          <w:b/>
          <w:i/>
          <w:sz w:val="28"/>
          <w:szCs w:val="36"/>
        </w:rPr>
        <w:t>, 2019</w:t>
      </w:r>
      <w:r w:rsidRPr="00272E55">
        <w:rPr>
          <w:rFonts w:ascii="Verdana" w:eastAsia="Calibri" w:hAnsi="Verdana" w:cs="Times New Roman"/>
          <w:b/>
          <w:i/>
          <w:sz w:val="28"/>
          <w:szCs w:val="36"/>
        </w:rPr>
        <w:t xml:space="preserve">      </w:t>
      </w:r>
    </w:p>
    <w:p w:rsidR="001E7C66" w:rsidRPr="00272E55" w:rsidRDefault="00944848" w:rsidP="00944848">
      <w:pPr>
        <w:spacing w:after="240" w:line="240" w:lineRule="auto"/>
        <w:jc w:val="center"/>
        <w:rPr>
          <w:rFonts w:ascii="Verdana" w:eastAsia="Calibri" w:hAnsi="Verdana" w:cs="Times New Roman"/>
          <w:b/>
          <w:i/>
          <w:sz w:val="28"/>
          <w:szCs w:val="36"/>
        </w:rPr>
      </w:pPr>
      <w:r w:rsidRPr="00272E55">
        <w:rPr>
          <w:rFonts w:ascii="Verdana" w:eastAsia="Calibri" w:hAnsi="Verdana" w:cs="Times New Roman"/>
          <w:b/>
          <w:i/>
          <w:color w:val="FF0000"/>
          <w:sz w:val="28"/>
          <w:szCs w:val="36"/>
        </w:rPr>
        <w:t>2:30 PM</w:t>
      </w:r>
    </w:p>
    <w:p w:rsidR="00944848" w:rsidRPr="00272E55" w:rsidRDefault="001E7C66" w:rsidP="00944848">
      <w:pPr>
        <w:spacing w:after="240" w:line="240" w:lineRule="auto"/>
        <w:jc w:val="center"/>
        <w:rPr>
          <w:rFonts w:ascii="Verdana" w:eastAsia="Calibri" w:hAnsi="Verdana" w:cs="Times New Roman"/>
          <w:b/>
          <w:i/>
          <w:sz w:val="28"/>
          <w:szCs w:val="36"/>
        </w:rPr>
      </w:pPr>
      <w:r w:rsidRPr="00272E55">
        <w:rPr>
          <w:rFonts w:ascii="Verdana" w:eastAsia="Calibri" w:hAnsi="Verdana" w:cs="Times New Roman"/>
          <w:b/>
          <w:i/>
          <w:sz w:val="28"/>
          <w:szCs w:val="36"/>
        </w:rPr>
        <w:t>Rich Lab Auditorium</w:t>
      </w:r>
    </w:p>
    <w:p w:rsidR="00417067" w:rsidRPr="00272E55" w:rsidRDefault="00944848" w:rsidP="00944848">
      <w:pPr>
        <w:spacing w:after="0" w:line="240" w:lineRule="auto"/>
        <w:jc w:val="center"/>
        <w:rPr>
          <w:rFonts w:ascii="Verdana" w:eastAsia="Calibri" w:hAnsi="Verdana" w:cs="Times New Roman"/>
          <w:b/>
          <w:i/>
          <w:sz w:val="28"/>
          <w:szCs w:val="36"/>
        </w:rPr>
      </w:pPr>
      <w:r w:rsidRPr="00272E55">
        <w:rPr>
          <w:rFonts w:ascii="Verdana" w:eastAsia="Calibri" w:hAnsi="Verdana" w:cs="Times New Roman"/>
          <w:b/>
          <w:i/>
          <w:sz w:val="28"/>
          <w:szCs w:val="36"/>
        </w:rPr>
        <w:t>Refreshments following Seminar</w:t>
      </w:r>
    </w:p>
    <w:p w:rsidR="001A3851" w:rsidRPr="00272E55" w:rsidRDefault="001A3851" w:rsidP="00944848">
      <w:pPr>
        <w:spacing w:after="0" w:line="240" w:lineRule="auto"/>
        <w:jc w:val="center"/>
        <w:rPr>
          <w:rFonts w:ascii="Verdana" w:eastAsia="Calibri" w:hAnsi="Verdana" w:cs="Times New Roman"/>
          <w:b/>
          <w:i/>
          <w:sz w:val="28"/>
          <w:szCs w:val="36"/>
        </w:rPr>
      </w:pPr>
      <w:r w:rsidRPr="00272E55">
        <w:rPr>
          <w:rFonts w:ascii="Calibri" w:hAnsi="Calibri" w:cs="Calibri"/>
          <w:color w:val="1F497D"/>
          <w:sz w:val="28"/>
          <w:szCs w:val="36"/>
        </w:rPr>
        <w:t> </w:t>
      </w:r>
      <w:r w:rsidRPr="00272E55">
        <w:rPr>
          <w:rFonts w:ascii="Calibri" w:hAnsi="Calibri" w:cs="Calibri"/>
          <w:b/>
          <w:bCs/>
          <w:i/>
          <w:iCs/>
          <w:color w:val="F66733"/>
          <w:sz w:val="28"/>
          <w:szCs w:val="36"/>
        </w:rPr>
        <w:t>“Attendance is mandatory for graduate students enrolled in EES 8610, EES 9610, and GEOL 8510.” </w:t>
      </w:r>
    </w:p>
    <w:sectPr w:rsidR="001A3851" w:rsidRPr="00272E55" w:rsidSect="00E17D17">
      <w:pgSz w:w="15840" w:h="24480" w:code="17"/>
      <w:pgMar w:top="288" w:right="576" w:bottom="288"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F48"/>
    <w:rsid w:val="00040125"/>
    <w:rsid w:val="0007613B"/>
    <w:rsid w:val="0008030B"/>
    <w:rsid w:val="000D17F5"/>
    <w:rsid w:val="000D1E39"/>
    <w:rsid w:val="000D4238"/>
    <w:rsid w:val="000F123F"/>
    <w:rsid w:val="000F53E1"/>
    <w:rsid w:val="001325A7"/>
    <w:rsid w:val="00144840"/>
    <w:rsid w:val="00155808"/>
    <w:rsid w:val="00156354"/>
    <w:rsid w:val="00160EC9"/>
    <w:rsid w:val="00170EAE"/>
    <w:rsid w:val="001737E2"/>
    <w:rsid w:val="001A3851"/>
    <w:rsid w:val="001B0332"/>
    <w:rsid w:val="001B2411"/>
    <w:rsid w:val="001E7C66"/>
    <w:rsid w:val="001F0E15"/>
    <w:rsid w:val="00220060"/>
    <w:rsid w:val="00266A1B"/>
    <w:rsid w:val="00272E55"/>
    <w:rsid w:val="002A41D5"/>
    <w:rsid w:val="002A42CA"/>
    <w:rsid w:val="002A72D2"/>
    <w:rsid w:val="002B5172"/>
    <w:rsid w:val="002D1655"/>
    <w:rsid w:val="002D1F25"/>
    <w:rsid w:val="002E67E8"/>
    <w:rsid w:val="002F16AB"/>
    <w:rsid w:val="00300AE2"/>
    <w:rsid w:val="003127FC"/>
    <w:rsid w:val="00315B85"/>
    <w:rsid w:val="00335FC9"/>
    <w:rsid w:val="00360569"/>
    <w:rsid w:val="00384B2B"/>
    <w:rsid w:val="003B0E67"/>
    <w:rsid w:val="003D7A2D"/>
    <w:rsid w:val="003E3AEC"/>
    <w:rsid w:val="003E6920"/>
    <w:rsid w:val="003F026A"/>
    <w:rsid w:val="003F1A2C"/>
    <w:rsid w:val="003F5DDE"/>
    <w:rsid w:val="004066AF"/>
    <w:rsid w:val="004133A7"/>
    <w:rsid w:val="00417067"/>
    <w:rsid w:val="00425470"/>
    <w:rsid w:val="0043586F"/>
    <w:rsid w:val="00443489"/>
    <w:rsid w:val="00451CE9"/>
    <w:rsid w:val="004546CB"/>
    <w:rsid w:val="004570EE"/>
    <w:rsid w:val="00457101"/>
    <w:rsid w:val="004638CB"/>
    <w:rsid w:val="00477A48"/>
    <w:rsid w:val="00484875"/>
    <w:rsid w:val="00497B69"/>
    <w:rsid w:val="004A2CCB"/>
    <w:rsid w:val="004B06AA"/>
    <w:rsid w:val="004C3290"/>
    <w:rsid w:val="004D3669"/>
    <w:rsid w:val="004E23EB"/>
    <w:rsid w:val="004E2CA8"/>
    <w:rsid w:val="004E3108"/>
    <w:rsid w:val="004E3F48"/>
    <w:rsid w:val="004E55D5"/>
    <w:rsid w:val="004E6F05"/>
    <w:rsid w:val="005003F3"/>
    <w:rsid w:val="00521131"/>
    <w:rsid w:val="005304E1"/>
    <w:rsid w:val="00530835"/>
    <w:rsid w:val="00550A3F"/>
    <w:rsid w:val="00560724"/>
    <w:rsid w:val="0056396D"/>
    <w:rsid w:val="005B381B"/>
    <w:rsid w:val="005C501B"/>
    <w:rsid w:val="005F1789"/>
    <w:rsid w:val="00665DFB"/>
    <w:rsid w:val="006A17CB"/>
    <w:rsid w:val="006A1970"/>
    <w:rsid w:val="006C72FB"/>
    <w:rsid w:val="006C7CFD"/>
    <w:rsid w:val="006D671C"/>
    <w:rsid w:val="006F0152"/>
    <w:rsid w:val="007176BA"/>
    <w:rsid w:val="00743C7D"/>
    <w:rsid w:val="00755132"/>
    <w:rsid w:val="007A52C7"/>
    <w:rsid w:val="007C04D3"/>
    <w:rsid w:val="007E0BB4"/>
    <w:rsid w:val="008102CE"/>
    <w:rsid w:val="00817066"/>
    <w:rsid w:val="00831752"/>
    <w:rsid w:val="008340F1"/>
    <w:rsid w:val="00843CFD"/>
    <w:rsid w:val="0084776B"/>
    <w:rsid w:val="00856B08"/>
    <w:rsid w:val="0087661D"/>
    <w:rsid w:val="00880EA9"/>
    <w:rsid w:val="00895BBD"/>
    <w:rsid w:val="008A3623"/>
    <w:rsid w:val="008C402B"/>
    <w:rsid w:val="008D523C"/>
    <w:rsid w:val="008D6CB4"/>
    <w:rsid w:val="008F4482"/>
    <w:rsid w:val="009061C6"/>
    <w:rsid w:val="00910C0C"/>
    <w:rsid w:val="0091155E"/>
    <w:rsid w:val="00915E53"/>
    <w:rsid w:val="00935903"/>
    <w:rsid w:val="00936EA5"/>
    <w:rsid w:val="00943F85"/>
    <w:rsid w:val="00944848"/>
    <w:rsid w:val="00961F4C"/>
    <w:rsid w:val="009724CB"/>
    <w:rsid w:val="009B6402"/>
    <w:rsid w:val="009C2CF4"/>
    <w:rsid w:val="009E743B"/>
    <w:rsid w:val="009F4A92"/>
    <w:rsid w:val="009F4D2A"/>
    <w:rsid w:val="00A14E7C"/>
    <w:rsid w:val="00A16ED7"/>
    <w:rsid w:val="00A33335"/>
    <w:rsid w:val="00A93AFE"/>
    <w:rsid w:val="00A93B33"/>
    <w:rsid w:val="00A96B37"/>
    <w:rsid w:val="00A9778C"/>
    <w:rsid w:val="00AA5869"/>
    <w:rsid w:val="00AB6B60"/>
    <w:rsid w:val="00AC16B3"/>
    <w:rsid w:val="00AE022D"/>
    <w:rsid w:val="00AF3583"/>
    <w:rsid w:val="00AF3EA1"/>
    <w:rsid w:val="00B21198"/>
    <w:rsid w:val="00B549AC"/>
    <w:rsid w:val="00B55245"/>
    <w:rsid w:val="00B82FA0"/>
    <w:rsid w:val="00B83D84"/>
    <w:rsid w:val="00BA01C3"/>
    <w:rsid w:val="00BA2B34"/>
    <w:rsid w:val="00BB0912"/>
    <w:rsid w:val="00BB4DA7"/>
    <w:rsid w:val="00BE1DF8"/>
    <w:rsid w:val="00C1663F"/>
    <w:rsid w:val="00C51876"/>
    <w:rsid w:val="00C61210"/>
    <w:rsid w:val="00C70E63"/>
    <w:rsid w:val="00C74903"/>
    <w:rsid w:val="00C80B24"/>
    <w:rsid w:val="00C872F5"/>
    <w:rsid w:val="00CA711C"/>
    <w:rsid w:val="00CB044A"/>
    <w:rsid w:val="00CB0B08"/>
    <w:rsid w:val="00CC649D"/>
    <w:rsid w:val="00CD1EF6"/>
    <w:rsid w:val="00CE729E"/>
    <w:rsid w:val="00D1698E"/>
    <w:rsid w:val="00D309E9"/>
    <w:rsid w:val="00D3195E"/>
    <w:rsid w:val="00D51146"/>
    <w:rsid w:val="00D63C3F"/>
    <w:rsid w:val="00D65ABD"/>
    <w:rsid w:val="00D71BD8"/>
    <w:rsid w:val="00D8163C"/>
    <w:rsid w:val="00D84CA8"/>
    <w:rsid w:val="00D86BC6"/>
    <w:rsid w:val="00DA3C3E"/>
    <w:rsid w:val="00DB0C28"/>
    <w:rsid w:val="00DE3600"/>
    <w:rsid w:val="00E17D17"/>
    <w:rsid w:val="00E349B8"/>
    <w:rsid w:val="00E5145D"/>
    <w:rsid w:val="00E73C56"/>
    <w:rsid w:val="00E745EC"/>
    <w:rsid w:val="00EA2AEA"/>
    <w:rsid w:val="00EA71AD"/>
    <w:rsid w:val="00EB2C91"/>
    <w:rsid w:val="00EC771D"/>
    <w:rsid w:val="00EC7AC9"/>
    <w:rsid w:val="00ED4DA6"/>
    <w:rsid w:val="00F12045"/>
    <w:rsid w:val="00F15DD7"/>
    <w:rsid w:val="00F2694C"/>
    <w:rsid w:val="00F26D23"/>
    <w:rsid w:val="00F37429"/>
    <w:rsid w:val="00F769A1"/>
    <w:rsid w:val="00FA4715"/>
    <w:rsid w:val="00FB2F68"/>
    <w:rsid w:val="00FF0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7EFAC"/>
  <w15:docId w15:val="{F7C666D2-78F9-4804-968C-8E0D5DD4A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D65ABD"/>
    <w:pPr>
      <w:spacing w:before="100" w:beforeAutospacing="1" w:after="100" w:afterAutospacing="1" w:line="240" w:lineRule="auto"/>
      <w:outlineLvl w:val="1"/>
    </w:pPr>
    <w:rPr>
      <w:rFonts w:ascii="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F48"/>
    <w:rPr>
      <w:rFonts w:ascii="Tahoma" w:hAnsi="Tahoma" w:cs="Tahoma"/>
      <w:sz w:val="16"/>
      <w:szCs w:val="16"/>
    </w:rPr>
  </w:style>
  <w:style w:type="character" w:customStyle="1" w:styleId="Heading2Char">
    <w:name w:val="Heading 2 Char"/>
    <w:basedOn w:val="DefaultParagraphFont"/>
    <w:link w:val="Heading2"/>
    <w:uiPriority w:val="9"/>
    <w:semiHidden/>
    <w:rsid w:val="00D65ABD"/>
    <w:rPr>
      <w:rFonts w:ascii="Calibri" w:hAnsi="Calibri" w:cs="Calibri"/>
      <w:b/>
      <w:bCs/>
      <w:sz w:val="36"/>
      <w:szCs w:val="36"/>
    </w:rPr>
  </w:style>
  <w:style w:type="character" w:customStyle="1" w:styleId="e2ma-style">
    <w:name w:val="e2ma-style"/>
    <w:basedOn w:val="DefaultParagraphFont"/>
    <w:rsid w:val="00D65ABD"/>
  </w:style>
  <w:style w:type="character" w:styleId="Strong">
    <w:name w:val="Strong"/>
    <w:basedOn w:val="DefaultParagraphFont"/>
    <w:uiPriority w:val="22"/>
    <w:qFormat/>
    <w:rsid w:val="00D65ABD"/>
    <w:rPr>
      <w:b/>
      <w:bCs/>
    </w:rPr>
  </w:style>
  <w:style w:type="character" w:styleId="Emphasis">
    <w:name w:val="Emphasis"/>
    <w:basedOn w:val="DefaultParagraphFont"/>
    <w:uiPriority w:val="20"/>
    <w:qFormat/>
    <w:rsid w:val="00D65A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51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119FD-D53A-436D-9151-4D3DD749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Lori Leigh Alexander</cp:lastModifiedBy>
  <cp:revision>2</cp:revision>
  <cp:lastPrinted>2019-10-02T15:55:00Z</cp:lastPrinted>
  <dcterms:created xsi:type="dcterms:W3CDTF">2019-10-02T16:02:00Z</dcterms:created>
  <dcterms:modified xsi:type="dcterms:W3CDTF">2019-10-02T16:02:00Z</dcterms:modified>
</cp:coreProperties>
</file>