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CC69" w14:textId="6C9ED080" w:rsidR="00F57F5F" w:rsidRDefault="00A45EDB" w:rsidP="00F57F5F">
      <w:pPr>
        <w:jc w:val="center"/>
        <w:rPr>
          <w:b/>
          <w:bCs/>
          <w:sz w:val="28"/>
          <w:szCs w:val="28"/>
        </w:rPr>
      </w:pPr>
      <w:bookmarkStart w:id="0" w:name="_Hlk67652081"/>
      <w:r>
        <w:rPr>
          <w:b/>
          <w:bCs/>
          <w:sz w:val="28"/>
          <w:szCs w:val="28"/>
        </w:rPr>
        <w:t xml:space="preserve">Mismatched BVA Transfers </w:t>
      </w:r>
      <w:r w:rsidR="00F57F5F" w:rsidRPr="00B43BAE">
        <w:rPr>
          <w:b/>
          <w:bCs/>
          <w:sz w:val="28"/>
          <w:szCs w:val="28"/>
        </w:rPr>
        <w:t>Reconciliation</w:t>
      </w:r>
      <w:bookmarkEnd w:id="0"/>
      <w:r w:rsidR="00F57F5F" w:rsidRPr="00B43BAE">
        <w:rPr>
          <w:b/>
          <w:bCs/>
          <w:sz w:val="28"/>
          <w:szCs w:val="28"/>
        </w:rPr>
        <w:t>:</w:t>
      </w:r>
    </w:p>
    <w:p w14:paraId="1D29D09E" w14:textId="77777777" w:rsidR="00F57F5F" w:rsidRDefault="00F57F5F" w:rsidP="00F57F5F"/>
    <w:p w14:paraId="22041BE2" w14:textId="7E386E57" w:rsidR="00F57F5F" w:rsidRDefault="00F57F5F" w:rsidP="00F57F5F">
      <w:r w:rsidRPr="00F57F5F">
        <w:t>Query:</w:t>
      </w:r>
      <w:r>
        <w:t xml:space="preserve"> </w:t>
      </w:r>
      <w:r>
        <w:tab/>
      </w:r>
      <w:bookmarkStart w:id="1" w:name="_Hlk67578257"/>
      <w:r>
        <w:t>LJ_NONEX_NONTRANSFER</w:t>
      </w:r>
      <w:r w:rsidR="00E95519">
        <w:t>_NODE</w:t>
      </w:r>
    </w:p>
    <w:bookmarkEnd w:id="1"/>
    <w:p w14:paraId="40734D46" w14:textId="2EF4B92E" w:rsidR="00F57F5F" w:rsidRDefault="00F57F5F" w:rsidP="00F57F5F">
      <w:r>
        <w:tab/>
      </w:r>
      <w:r w:rsidR="006571E9">
        <w:t xml:space="preserve">LJ_TRANSINOUT_NOTNONEX_NODE </w:t>
      </w:r>
    </w:p>
    <w:p w14:paraId="6E7B73E9" w14:textId="6A680B15" w:rsidR="00CE1384" w:rsidRDefault="00CE1384" w:rsidP="00CE1384">
      <w:pPr>
        <w:ind w:firstLine="720"/>
      </w:pPr>
      <w:r>
        <w:rPr>
          <w:rStyle w:val="pseditboxdisponly"/>
        </w:rPr>
        <w:t>LJ_TRSINOUT_NONON_ACT_NODE</w:t>
      </w:r>
      <w:bookmarkStart w:id="2" w:name="_Hlk67578264"/>
    </w:p>
    <w:p w14:paraId="5BD4AAA2" w14:textId="616E9571" w:rsidR="00CE1384" w:rsidRDefault="00F57F5F" w:rsidP="00F57F5F">
      <w:r>
        <w:tab/>
      </w:r>
      <w:r w:rsidR="00CE1384" w:rsidRPr="00CE1384">
        <w:t xml:space="preserve">LJ_NONEX_NNTRSF_ACT_NODE </w:t>
      </w:r>
    </w:p>
    <w:bookmarkEnd w:id="2"/>
    <w:p w14:paraId="3BAC2902" w14:textId="77777777" w:rsidR="00A45EDB" w:rsidRDefault="00A45EDB" w:rsidP="00A45EDB">
      <w:pPr>
        <w:ind w:firstLine="720"/>
      </w:pPr>
    </w:p>
    <w:p w14:paraId="6E8C5124" w14:textId="28269D3A" w:rsidR="00A45EDB" w:rsidRPr="00A45EDB" w:rsidRDefault="00A45EDB" w:rsidP="00A45EDB">
      <w:pPr>
        <w:ind w:firstLine="720"/>
      </w:pPr>
      <w:r w:rsidRPr="00A45EDB">
        <w:t>This report shows which chart</w:t>
      </w:r>
      <w:r>
        <w:t>-</w:t>
      </w:r>
      <w:r w:rsidRPr="00A45EDB">
        <w:t>fields have inappropriately used the NONEX program (000).  This program should only be used for transfer account</w:t>
      </w:r>
      <w:r>
        <w:t xml:space="preserve"> codes</w:t>
      </w:r>
      <w:r w:rsidRPr="00A45EDB">
        <w:t xml:space="preserve">.  All other accounts should be </w:t>
      </w:r>
      <w:r w:rsidR="0099611B" w:rsidRPr="00A45EDB">
        <w:t>program specific</w:t>
      </w:r>
      <w:r w:rsidRPr="00A45EDB">
        <w:t xml:space="preserve">.  </w:t>
      </w:r>
    </w:p>
    <w:p w14:paraId="1A931CFC" w14:textId="2E048086" w:rsidR="00A45EDB" w:rsidRDefault="00A45EDB" w:rsidP="00F57F5F">
      <w:r>
        <w:t xml:space="preserve">Step 1: </w:t>
      </w:r>
      <w:r w:rsidR="00134CD4">
        <w:t>Run a query and retrieve data</w:t>
      </w:r>
      <w:r w:rsidR="005239E1">
        <w:t xml:space="preserve"> (export to Excel)</w:t>
      </w:r>
      <w:r w:rsidR="00134CD4">
        <w:t>.</w:t>
      </w:r>
    </w:p>
    <w:p w14:paraId="6D2ECCD8" w14:textId="023E8BAF" w:rsidR="00134CD4" w:rsidRDefault="00134CD4" w:rsidP="00F57F5F">
      <w:r>
        <w:t xml:space="preserve">Step 2: Filter the data so that only your BC department numbers are displayed. </w:t>
      </w:r>
    </w:p>
    <w:p w14:paraId="35C88439" w14:textId="77777777" w:rsidR="00134CD4" w:rsidRDefault="00134CD4" w:rsidP="00F57F5F">
      <w:r>
        <w:t>Step 3: At the bottom of the table sum the total of all “amounts” that are displayed.</w:t>
      </w:r>
    </w:p>
    <w:p w14:paraId="5D18F63F" w14:textId="0BD536EA" w:rsidR="00134CD4" w:rsidRDefault="00134CD4" w:rsidP="00134CD4">
      <w:pPr>
        <w:pStyle w:val="ListParagraph"/>
        <w:numPr>
          <w:ilvl w:val="0"/>
          <w:numId w:val="3"/>
        </w:numPr>
      </w:pPr>
      <w:r>
        <w:t>If th</w:t>
      </w:r>
      <w:r w:rsidR="00311089">
        <w:t>e “Amount” column</w:t>
      </w:r>
      <w:r>
        <w:t xml:space="preserve"> sums to </w:t>
      </w:r>
      <w:r w:rsidR="00311089">
        <w:t>“</w:t>
      </w:r>
      <w:r>
        <w:t>0</w:t>
      </w:r>
      <w:r w:rsidR="00311089">
        <w:t>”</w:t>
      </w:r>
      <w:r>
        <w:t xml:space="preserve"> then no error exists repeat step 1 through 3 for each query.</w:t>
      </w:r>
    </w:p>
    <w:p w14:paraId="34816FDF" w14:textId="78DEF0DF" w:rsidR="00134CD4" w:rsidRDefault="00134CD4" w:rsidP="00134CD4">
      <w:pPr>
        <w:pStyle w:val="ListParagraph"/>
        <w:numPr>
          <w:ilvl w:val="0"/>
          <w:numId w:val="3"/>
        </w:numPr>
      </w:pPr>
      <w:r>
        <w:t xml:space="preserve">If </w:t>
      </w:r>
      <w:r w:rsidR="00311089">
        <w:t xml:space="preserve">this “Amount” column </w:t>
      </w:r>
      <w:r w:rsidR="00311089" w:rsidRPr="00311089">
        <w:rPr>
          <w:b/>
          <w:bCs/>
        </w:rPr>
        <w:t>does not</w:t>
      </w:r>
      <w:r w:rsidR="00311089">
        <w:t xml:space="preserve"> sum to “0” then an error exists. Proceed to step 4 for resolution.</w:t>
      </w:r>
    </w:p>
    <w:p w14:paraId="1BCB9ED0" w14:textId="214C73E0" w:rsidR="00311089" w:rsidRDefault="00311089" w:rsidP="00311089">
      <w:r>
        <w:t xml:space="preserve">Step 4: When an account code is inappropriately matched with a program code the line must be reversed in PeopleSoft and re-entered in with the correct program code. When the “Amount” column does not sum to “0” you must review the lines to find which entries do not have </w:t>
      </w:r>
      <w:r w:rsidR="00544983">
        <w:t>a corresponding entry with a reversed sign which sums to “0”.</w:t>
      </w:r>
    </w:p>
    <w:p w14:paraId="0D061811" w14:textId="39E515C0" w:rsidR="00544983" w:rsidRDefault="00544983" w:rsidP="00311089">
      <w:r>
        <w:t xml:space="preserve">Step 5: Once the entry is error is identified, the corresponding data in the </w:t>
      </w:r>
      <w:r w:rsidR="00170757">
        <w:t>column</w:t>
      </w:r>
      <w:r>
        <w:t xml:space="preserve"> labeled “user” can be used to identify who should be contact</w:t>
      </w:r>
      <w:r w:rsidR="00170757">
        <w:t xml:space="preserve">ed to resolve this error. </w:t>
      </w:r>
      <w:r w:rsidR="00DB1013">
        <w:t>Repeat this process until all errors have been address</w:t>
      </w:r>
      <w:r w:rsidR="00BE1DB7">
        <w:t>ed</w:t>
      </w:r>
      <w:r w:rsidR="00DB1013">
        <w:t xml:space="preserve"> or resolved. </w:t>
      </w:r>
    </w:p>
    <w:p w14:paraId="230A2E16" w14:textId="77777777" w:rsidR="00170757" w:rsidRDefault="00170757" w:rsidP="00170757"/>
    <w:p w14:paraId="66E4C4AC" w14:textId="7159F49D" w:rsidR="00170757" w:rsidRDefault="00170757" w:rsidP="00170757">
      <w:r>
        <w:t>Additional information:</w:t>
      </w:r>
    </w:p>
    <w:p w14:paraId="1AAB9CFB" w14:textId="5FA8D929" w:rsidR="00170757" w:rsidRDefault="00170757" w:rsidP="00170757">
      <w:pPr>
        <w:ind w:firstLine="720"/>
      </w:pPr>
      <w:r>
        <w:t xml:space="preserve">These errors are corrected by entering a budget journal to reverse the original journal with mismatched account/program codes. In the same journal a new line should be created with the properly pair account/program code so that the BA is still in balance. </w:t>
      </w:r>
    </w:p>
    <w:p w14:paraId="1D7C61F0" w14:textId="6372A1B7" w:rsidR="00DB1013" w:rsidRDefault="00170757" w:rsidP="00170757">
      <w:pPr>
        <w:ind w:firstLine="720"/>
      </w:pPr>
      <w:r>
        <w:t xml:space="preserve">Query </w:t>
      </w:r>
      <w:r w:rsidR="00DB1013">
        <w:t>Description</w:t>
      </w:r>
      <w:r w:rsidR="005239E1">
        <w:t>s</w:t>
      </w:r>
      <w:r w:rsidR="00DB1013">
        <w:t>:</w:t>
      </w:r>
    </w:p>
    <w:p w14:paraId="6B9FDB99" w14:textId="47C5FDC5" w:rsidR="00170757" w:rsidRDefault="00170757" w:rsidP="00170757">
      <w:pPr>
        <w:ind w:firstLine="720"/>
      </w:pPr>
      <w:r>
        <w:t xml:space="preserve">LJ_NONEX_NONTRANSFER identifies non-transfer account codes that are using </w:t>
      </w:r>
      <w:r w:rsidR="00DF5179">
        <w:t xml:space="preserve">a NONEX program code but should be using a specific program code. </w:t>
      </w:r>
    </w:p>
    <w:p w14:paraId="11A53BC8" w14:textId="67670D6C" w:rsidR="00DB1013" w:rsidRDefault="00DB1013" w:rsidP="00170757">
      <w:pPr>
        <w:ind w:firstLine="720"/>
      </w:pPr>
      <w:r>
        <w:t xml:space="preserve">LJ_TRANSINOUT_NOTNONEX identifies transfer in/out account codes that did not use a NONEX program code. </w:t>
      </w:r>
      <w:r w:rsidR="00960177">
        <w:t>Account codes 92XX, 94XX and TRSOUT should always use program code NONEX</w:t>
      </w:r>
    </w:p>
    <w:p w14:paraId="777ADCD2" w14:textId="06944499" w:rsidR="00960177" w:rsidRDefault="00960177" w:rsidP="00170757">
      <w:pPr>
        <w:ind w:firstLine="720"/>
      </w:pPr>
      <w:r>
        <w:lastRenderedPageBreak/>
        <w:t xml:space="preserve">LJ_TRSINOUT_NONON_ACT Identifies </w:t>
      </w:r>
      <w:r w:rsidR="003F4539">
        <w:t>journal entries (not budget journals) that use transfer in/out account codes but do not use program code 000 (NONEX).</w:t>
      </w:r>
    </w:p>
    <w:p w14:paraId="011843AE" w14:textId="32B413C2" w:rsidR="003F4539" w:rsidRDefault="003F4539" w:rsidP="00170757">
      <w:pPr>
        <w:ind w:firstLine="720"/>
      </w:pPr>
      <w:r>
        <w:t xml:space="preserve">LJ_NONEX_NNTRSF_ACT Identifies journal entries (not budget journals) that use non- transfer in/out account codes but use a 000 (NONEX) program code. </w:t>
      </w:r>
    </w:p>
    <w:p w14:paraId="5058B99D" w14:textId="77777777" w:rsidR="009C487C" w:rsidRDefault="009C487C" w:rsidP="009C487C"/>
    <w:p w14:paraId="524F121A" w14:textId="3797A9C5" w:rsidR="009C487C" w:rsidRPr="0059176B" w:rsidRDefault="009C487C" w:rsidP="009C487C">
      <w:r w:rsidRPr="0059176B">
        <w:t>In accordance with the Budget Office’s Reconciliation policy; Budget Centers should complete the Cash Transfer Reconciliation and the Mismatched BVA Transfers Reconciliation processes on a weekly or bi-weekly basis to ensure that any issues are promptly remediated. Any issues found in these reports should be remediated by the date marked “Deadline to Clearing Errors and Posting All Journals” per the Controller’s close calendar: (</w:t>
      </w:r>
      <w:hyperlink r:id="rId7" w:history="1">
        <w:r w:rsidRPr="0059176B">
          <w:rPr>
            <w:rStyle w:val="Hyperlink"/>
          </w:rPr>
          <w:t>https://www.clemson.edu/finance/controller/schedules/fy_21_monthly_closing_schedule.xls</w:t>
        </w:r>
      </w:hyperlink>
      <w:r w:rsidRPr="0059176B">
        <w:t>)</w:t>
      </w:r>
    </w:p>
    <w:p w14:paraId="3E76441D" w14:textId="77777777" w:rsidR="009C487C" w:rsidRPr="0059176B" w:rsidRDefault="009C487C" w:rsidP="009C487C">
      <w:r w:rsidRPr="0059176B">
        <w:t xml:space="preserve">This is consistent with current accounting restrictions and enables the budget fix process to be aligned more closely to those expectations thereby improving reporting </w:t>
      </w:r>
      <w:proofErr w:type="gramStart"/>
      <w:r w:rsidRPr="0059176B">
        <w:t>on a monthly basis</w:t>
      </w:r>
      <w:proofErr w:type="gramEnd"/>
      <w:r w:rsidRPr="0059176B">
        <w:t>.</w:t>
      </w:r>
    </w:p>
    <w:p w14:paraId="37625476" w14:textId="77777777" w:rsidR="009C487C" w:rsidRDefault="009C487C" w:rsidP="000B64C6"/>
    <w:p w14:paraId="6B515703" w14:textId="74E60532" w:rsidR="000B64C6" w:rsidRDefault="000B64C6" w:rsidP="000B64C6">
      <w:r>
        <w:t xml:space="preserve">Please reach out to your CBO with any questions on how to resolve discrepancies found during the Budget Balance Recon process. </w:t>
      </w:r>
    </w:p>
    <w:p w14:paraId="7E83FA45" w14:textId="77777777" w:rsidR="009C487C" w:rsidRDefault="009C487C" w:rsidP="00981DB9"/>
    <w:p w14:paraId="49138808" w14:textId="76D5AE13" w:rsidR="00981DB9" w:rsidRDefault="00981DB9" w:rsidP="00981DB9">
      <w:r>
        <w:t xml:space="preserve">Additional information about budget amendments and their rules can be found in the Budget Office Training Manual: </w:t>
      </w:r>
      <w:hyperlink r:id="rId8" w:history="1">
        <w:r w:rsidRPr="001D64EC">
          <w:rPr>
            <w:rStyle w:val="Hyperlink"/>
          </w:rPr>
          <w:t>https://media.clemson.edu/cfo/budgets/PeopleSoft-Budget-Training.pdf</w:t>
        </w:r>
      </w:hyperlink>
    </w:p>
    <w:p w14:paraId="62DA148F" w14:textId="0D567AF8" w:rsidR="00DB1013" w:rsidRDefault="00DB1013" w:rsidP="00170757">
      <w:pPr>
        <w:ind w:firstLine="720"/>
      </w:pPr>
    </w:p>
    <w:p w14:paraId="33956A4D" w14:textId="77777777" w:rsidR="00981DB9" w:rsidRDefault="00981DB9" w:rsidP="00170757">
      <w:pPr>
        <w:ind w:firstLine="720"/>
      </w:pPr>
    </w:p>
    <w:p w14:paraId="708EAA57" w14:textId="77777777" w:rsidR="00F57F5F" w:rsidRPr="00F57F5F" w:rsidRDefault="00F57F5F" w:rsidP="00F57F5F"/>
    <w:p w14:paraId="484E4D55" w14:textId="77777777" w:rsidR="00F57F5F" w:rsidRDefault="00F57F5F" w:rsidP="00F57F5F">
      <w:pPr>
        <w:rPr>
          <w:highlight w:val="cyan"/>
        </w:rPr>
      </w:pPr>
    </w:p>
    <w:p w14:paraId="46C09AE1" w14:textId="77777777" w:rsidR="00F57F5F" w:rsidRDefault="00F57F5F" w:rsidP="00F57F5F">
      <w:pPr>
        <w:rPr>
          <w:highlight w:val="cyan"/>
        </w:rPr>
      </w:pPr>
    </w:p>
    <w:p w14:paraId="083CA4ED" w14:textId="77777777" w:rsidR="00F57F5F" w:rsidRDefault="00F57F5F" w:rsidP="00F57F5F">
      <w:pPr>
        <w:rPr>
          <w:highlight w:val="cyan"/>
        </w:rPr>
      </w:pPr>
    </w:p>
    <w:p w14:paraId="3C9E56C8" w14:textId="77777777" w:rsidR="00F57F5F" w:rsidRDefault="00F57F5F" w:rsidP="00F57F5F">
      <w:pPr>
        <w:rPr>
          <w:highlight w:val="cyan"/>
        </w:rPr>
      </w:pPr>
    </w:p>
    <w:p w14:paraId="5670ACB4" w14:textId="77777777" w:rsidR="00F57F5F" w:rsidRDefault="00F57F5F" w:rsidP="00F57F5F"/>
    <w:p w14:paraId="15704465" w14:textId="77777777" w:rsidR="00CD796F" w:rsidRDefault="00CD796F"/>
    <w:sectPr w:rsidR="00CD79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6212" w14:textId="77777777" w:rsidR="008F285F" w:rsidRDefault="008F285F" w:rsidP="008F285F">
      <w:pPr>
        <w:spacing w:after="0" w:line="240" w:lineRule="auto"/>
      </w:pPr>
      <w:r>
        <w:separator/>
      </w:r>
    </w:p>
  </w:endnote>
  <w:endnote w:type="continuationSeparator" w:id="0">
    <w:p w14:paraId="6E9D06B8" w14:textId="77777777" w:rsidR="008F285F" w:rsidRDefault="008F285F" w:rsidP="008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5817" w14:textId="77777777" w:rsidR="008F285F" w:rsidRDefault="008F2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87936"/>
      <w:docPartObj>
        <w:docPartGallery w:val="Page Numbers (Bottom of Page)"/>
        <w:docPartUnique/>
      </w:docPartObj>
    </w:sdtPr>
    <w:sdtEndPr>
      <w:rPr>
        <w:noProof/>
      </w:rPr>
    </w:sdtEndPr>
    <w:sdtContent>
      <w:p w14:paraId="34865300" w14:textId="289BDA05" w:rsidR="008F285F" w:rsidRDefault="008F28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26BF63" w14:textId="77777777" w:rsidR="008F285F" w:rsidRDefault="008F2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2438" w14:textId="77777777" w:rsidR="008F285F" w:rsidRDefault="008F2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168F" w14:textId="77777777" w:rsidR="008F285F" w:rsidRDefault="008F285F" w:rsidP="008F285F">
      <w:pPr>
        <w:spacing w:after="0" w:line="240" w:lineRule="auto"/>
      </w:pPr>
      <w:r>
        <w:separator/>
      </w:r>
    </w:p>
  </w:footnote>
  <w:footnote w:type="continuationSeparator" w:id="0">
    <w:p w14:paraId="07D88E88" w14:textId="77777777" w:rsidR="008F285F" w:rsidRDefault="008F285F" w:rsidP="008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1B3" w14:textId="77777777" w:rsidR="008F285F" w:rsidRDefault="008F2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785B" w14:textId="626D6914" w:rsidR="008F285F" w:rsidRDefault="008F285F">
    <w:pPr>
      <w:pStyle w:val="Header"/>
      <w:jc w:val="right"/>
    </w:pPr>
  </w:p>
  <w:p w14:paraId="3537B435" w14:textId="77777777" w:rsidR="008F285F" w:rsidRDefault="008F2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E563" w14:textId="77777777" w:rsidR="008F285F" w:rsidRDefault="008F2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9160E"/>
    <w:multiLevelType w:val="hybridMultilevel"/>
    <w:tmpl w:val="9C5884F4"/>
    <w:lvl w:ilvl="0" w:tplc="F8E29224">
      <w:start w:val="1"/>
      <w:numFmt w:val="bullet"/>
      <w:lvlText w:val=""/>
      <w:lvlJc w:val="left"/>
      <w:pPr>
        <w:tabs>
          <w:tab w:val="num" w:pos="720"/>
        </w:tabs>
        <w:ind w:left="720" w:hanging="360"/>
      </w:pPr>
      <w:rPr>
        <w:rFonts w:ascii="Wingdings" w:hAnsi="Wingdings" w:hint="default"/>
      </w:rPr>
    </w:lvl>
    <w:lvl w:ilvl="1" w:tplc="DEF02BAE" w:tentative="1">
      <w:start w:val="1"/>
      <w:numFmt w:val="bullet"/>
      <w:lvlText w:val=""/>
      <w:lvlJc w:val="left"/>
      <w:pPr>
        <w:tabs>
          <w:tab w:val="num" w:pos="1440"/>
        </w:tabs>
        <w:ind w:left="1440" w:hanging="360"/>
      </w:pPr>
      <w:rPr>
        <w:rFonts w:ascii="Wingdings" w:hAnsi="Wingdings" w:hint="default"/>
      </w:rPr>
    </w:lvl>
    <w:lvl w:ilvl="2" w:tplc="28D6ECAE" w:tentative="1">
      <w:start w:val="1"/>
      <w:numFmt w:val="bullet"/>
      <w:lvlText w:val=""/>
      <w:lvlJc w:val="left"/>
      <w:pPr>
        <w:tabs>
          <w:tab w:val="num" w:pos="2160"/>
        </w:tabs>
        <w:ind w:left="2160" w:hanging="360"/>
      </w:pPr>
      <w:rPr>
        <w:rFonts w:ascii="Wingdings" w:hAnsi="Wingdings" w:hint="default"/>
      </w:rPr>
    </w:lvl>
    <w:lvl w:ilvl="3" w:tplc="4FA27650" w:tentative="1">
      <w:start w:val="1"/>
      <w:numFmt w:val="bullet"/>
      <w:lvlText w:val=""/>
      <w:lvlJc w:val="left"/>
      <w:pPr>
        <w:tabs>
          <w:tab w:val="num" w:pos="2880"/>
        </w:tabs>
        <w:ind w:left="2880" w:hanging="360"/>
      </w:pPr>
      <w:rPr>
        <w:rFonts w:ascii="Wingdings" w:hAnsi="Wingdings" w:hint="default"/>
      </w:rPr>
    </w:lvl>
    <w:lvl w:ilvl="4" w:tplc="7B8E8558" w:tentative="1">
      <w:start w:val="1"/>
      <w:numFmt w:val="bullet"/>
      <w:lvlText w:val=""/>
      <w:lvlJc w:val="left"/>
      <w:pPr>
        <w:tabs>
          <w:tab w:val="num" w:pos="3600"/>
        </w:tabs>
        <w:ind w:left="3600" w:hanging="360"/>
      </w:pPr>
      <w:rPr>
        <w:rFonts w:ascii="Wingdings" w:hAnsi="Wingdings" w:hint="default"/>
      </w:rPr>
    </w:lvl>
    <w:lvl w:ilvl="5" w:tplc="FB48A110" w:tentative="1">
      <w:start w:val="1"/>
      <w:numFmt w:val="bullet"/>
      <w:lvlText w:val=""/>
      <w:lvlJc w:val="left"/>
      <w:pPr>
        <w:tabs>
          <w:tab w:val="num" w:pos="4320"/>
        </w:tabs>
        <w:ind w:left="4320" w:hanging="360"/>
      </w:pPr>
      <w:rPr>
        <w:rFonts w:ascii="Wingdings" w:hAnsi="Wingdings" w:hint="default"/>
      </w:rPr>
    </w:lvl>
    <w:lvl w:ilvl="6" w:tplc="66985B40" w:tentative="1">
      <w:start w:val="1"/>
      <w:numFmt w:val="bullet"/>
      <w:lvlText w:val=""/>
      <w:lvlJc w:val="left"/>
      <w:pPr>
        <w:tabs>
          <w:tab w:val="num" w:pos="5040"/>
        </w:tabs>
        <w:ind w:left="5040" w:hanging="360"/>
      </w:pPr>
      <w:rPr>
        <w:rFonts w:ascii="Wingdings" w:hAnsi="Wingdings" w:hint="default"/>
      </w:rPr>
    </w:lvl>
    <w:lvl w:ilvl="7" w:tplc="0232B952" w:tentative="1">
      <w:start w:val="1"/>
      <w:numFmt w:val="bullet"/>
      <w:lvlText w:val=""/>
      <w:lvlJc w:val="left"/>
      <w:pPr>
        <w:tabs>
          <w:tab w:val="num" w:pos="5760"/>
        </w:tabs>
        <w:ind w:left="5760" w:hanging="360"/>
      </w:pPr>
      <w:rPr>
        <w:rFonts w:ascii="Wingdings" w:hAnsi="Wingdings" w:hint="default"/>
      </w:rPr>
    </w:lvl>
    <w:lvl w:ilvl="8" w:tplc="1130BC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9C365E"/>
    <w:multiLevelType w:val="hybridMultilevel"/>
    <w:tmpl w:val="DFD8FE28"/>
    <w:lvl w:ilvl="0" w:tplc="DBDAC71A">
      <w:start w:val="1"/>
      <w:numFmt w:val="bullet"/>
      <w:lvlText w:val=""/>
      <w:lvlJc w:val="left"/>
      <w:pPr>
        <w:tabs>
          <w:tab w:val="num" w:pos="720"/>
        </w:tabs>
        <w:ind w:left="720" w:hanging="360"/>
      </w:pPr>
      <w:rPr>
        <w:rFonts w:ascii="Wingdings" w:hAnsi="Wingdings" w:hint="default"/>
      </w:rPr>
    </w:lvl>
    <w:lvl w:ilvl="1" w:tplc="E32EE07A" w:tentative="1">
      <w:start w:val="1"/>
      <w:numFmt w:val="bullet"/>
      <w:lvlText w:val=""/>
      <w:lvlJc w:val="left"/>
      <w:pPr>
        <w:tabs>
          <w:tab w:val="num" w:pos="1440"/>
        </w:tabs>
        <w:ind w:left="1440" w:hanging="360"/>
      </w:pPr>
      <w:rPr>
        <w:rFonts w:ascii="Wingdings" w:hAnsi="Wingdings" w:hint="default"/>
      </w:rPr>
    </w:lvl>
    <w:lvl w:ilvl="2" w:tplc="4160932E" w:tentative="1">
      <w:start w:val="1"/>
      <w:numFmt w:val="bullet"/>
      <w:lvlText w:val=""/>
      <w:lvlJc w:val="left"/>
      <w:pPr>
        <w:tabs>
          <w:tab w:val="num" w:pos="2160"/>
        </w:tabs>
        <w:ind w:left="2160" w:hanging="360"/>
      </w:pPr>
      <w:rPr>
        <w:rFonts w:ascii="Wingdings" w:hAnsi="Wingdings" w:hint="default"/>
      </w:rPr>
    </w:lvl>
    <w:lvl w:ilvl="3" w:tplc="D31C6840" w:tentative="1">
      <w:start w:val="1"/>
      <w:numFmt w:val="bullet"/>
      <w:lvlText w:val=""/>
      <w:lvlJc w:val="left"/>
      <w:pPr>
        <w:tabs>
          <w:tab w:val="num" w:pos="2880"/>
        </w:tabs>
        <w:ind w:left="2880" w:hanging="360"/>
      </w:pPr>
      <w:rPr>
        <w:rFonts w:ascii="Wingdings" w:hAnsi="Wingdings" w:hint="default"/>
      </w:rPr>
    </w:lvl>
    <w:lvl w:ilvl="4" w:tplc="E44858B6" w:tentative="1">
      <w:start w:val="1"/>
      <w:numFmt w:val="bullet"/>
      <w:lvlText w:val=""/>
      <w:lvlJc w:val="left"/>
      <w:pPr>
        <w:tabs>
          <w:tab w:val="num" w:pos="3600"/>
        </w:tabs>
        <w:ind w:left="3600" w:hanging="360"/>
      </w:pPr>
      <w:rPr>
        <w:rFonts w:ascii="Wingdings" w:hAnsi="Wingdings" w:hint="default"/>
      </w:rPr>
    </w:lvl>
    <w:lvl w:ilvl="5" w:tplc="AFDE4708" w:tentative="1">
      <w:start w:val="1"/>
      <w:numFmt w:val="bullet"/>
      <w:lvlText w:val=""/>
      <w:lvlJc w:val="left"/>
      <w:pPr>
        <w:tabs>
          <w:tab w:val="num" w:pos="4320"/>
        </w:tabs>
        <w:ind w:left="4320" w:hanging="360"/>
      </w:pPr>
      <w:rPr>
        <w:rFonts w:ascii="Wingdings" w:hAnsi="Wingdings" w:hint="default"/>
      </w:rPr>
    </w:lvl>
    <w:lvl w:ilvl="6" w:tplc="75363068" w:tentative="1">
      <w:start w:val="1"/>
      <w:numFmt w:val="bullet"/>
      <w:lvlText w:val=""/>
      <w:lvlJc w:val="left"/>
      <w:pPr>
        <w:tabs>
          <w:tab w:val="num" w:pos="5040"/>
        </w:tabs>
        <w:ind w:left="5040" w:hanging="360"/>
      </w:pPr>
      <w:rPr>
        <w:rFonts w:ascii="Wingdings" w:hAnsi="Wingdings" w:hint="default"/>
      </w:rPr>
    </w:lvl>
    <w:lvl w:ilvl="7" w:tplc="62E2E8E4" w:tentative="1">
      <w:start w:val="1"/>
      <w:numFmt w:val="bullet"/>
      <w:lvlText w:val=""/>
      <w:lvlJc w:val="left"/>
      <w:pPr>
        <w:tabs>
          <w:tab w:val="num" w:pos="5760"/>
        </w:tabs>
        <w:ind w:left="5760" w:hanging="360"/>
      </w:pPr>
      <w:rPr>
        <w:rFonts w:ascii="Wingdings" w:hAnsi="Wingdings" w:hint="default"/>
      </w:rPr>
    </w:lvl>
    <w:lvl w:ilvl="8" w:tplc="FF2607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F47645"/>
    <w:multiLevelType w:val="hybridMultilevel"/>
    <w:tmpl w:val="92EE2F0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5F"/>
    <w:rsid w:val="000B64C6"/>
    <w:rsid w:val="00134CD4"/>
    <w:rsid w:val="00170757"/>
    <w:rsid w:val="001D618C"/>
    <w:rsid w:val="00311089"/>
    <w:rsid w:val="003F4539"/>
    <w:rsid w:val="005239E1"/>
    <w:rsid w:val="00544983"/>
    <w:rsid w:val="006571E9"/>
    <w:rsid w:val="008F285F"/>
    <w:rsid w:val="00960177"/>
    <w:rsid w:val="00981DB9"/>
    <w:rsid w:val="0099611B"/>
    <w:rsid w:val="009C487C"/>
    <w:rsid w:val="00A45EDB"/>
    <w:rsid w:val="00B36B23"/>
    <w:rsid w:val="00B67324"/>
    <w:rsid w:val="00BE1DB7"/>
    <w:rsid w:val="00CD796F"/>
    <w:rsid w:val="00CE1384"/>
    <w:rsid w:val="00DB1013"/>
    <w:rsid w:val="00DF5179"/>
    <w:rsid w:val="00E95519"/>
    <w:rsid w:val="00F36DEE"/>
    <w:rsid w:val="00F5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0E38"/>
  <w15:chartTrackingRefBased/>
  <w15:docId w15:val="{CC3D93BF-6CE9-4444-AA5C-707A960B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CD4"/>
    <w:pPr>
      <w:ind w:left="720"/>
      <w:contextualSpacing/>
    </w:pPr>
  </w:style>
  <w:style w:type="character" w:styleId="Hyperlink">
    <w:name w:val="Hyperlink"/>
    <w:basedOn w:val="DefaultParagraphFont"/>
    <w:uiPriority w:val="99"/>
    <w:unhideWhenUsed/>
    <w:rsid w:val="00981DB9"/>
    <w:rPr>
      <w:color w:val="0563C1" w:themeColor="hyperlink"/>
      <w:u w:val="single"/>
    </w:rPr>
  </w:style>
  <w:style w:type="character" w:customStyle="1" w:styleId="pseditboxdisponly">
    <w:name w:val="pseditbox_disponly"/>
    <w:basedOn w:val="DefaultParagraphFont"/>
    <w:rsid w:val="00CE1384"/>
  </w:style>
  <w:style w:type="paragraph" w:styleId="Header">
    <w:name w:val="header"/>
    <w:basedOn w:val="Normal"/>
    <w:link w:val="HeaderChar"/>
    <w:uiPriority w:val="99"/>
    <w:unhideWhenUsed/>
    <w:rsid w:val="008F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85F"/>
  </w:style>
  <w:style w:type="paragraph" w:styleId="Footer">
    <w:name w:val="footer"/>
    <w:basedOn w:val="Normal"/>
    <w:link w:val="FooterChar"/>
    <w:uiPriority w:val="99"/>
    <w:unhideWhenUsed/>
    <w:rsid w:val="008F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8890">
      <w:bodyDiv w:val="1"/>
      <w:marLeft w:val="0"/>
      <w:marRight w:val="0"/>
      <w:marTop w:val="0"/>
      <w:marBottom w:val="0"/>
      <w:divBdr>
        <w:top w:val="none" w:sz="0" w:space="0" w:color="auto"/>
        <w:left w:val="none" w:sz="0" w:space="0" w:color="auto"/>
        <w:bottom w:val="none" w:sz="0" w:space="0" w:color="auto"/>
        <w:right w:val="none" w:sz="0" w:space="0" w:color="auto"/>
      </w:divBdr>
    </w:div>
    <w:div w:id="527570737">
      <w:bodyDiv w:val="1"/>
      <w:marLeft w:val="0"/>
      <w:marRight w:val="0"/>
      <w:marTop w:val="0"/>
      <w:marBottom w:val="0"/>
      <w:divBdr>
        <w:top w:val="none" w:sz="0" w:space="0" w:color="auto"/>
        <w:left w:val="none" w:sz="0" w:space="0" w:color="auto"/>
        <w:bottom w:val="none" w:sz="0" w:space="0" w:color="auto"/>
        <w:right w:val="none" w:sz="0" w:space="0" w:color="auto"/>
      </w:divBdr>
      <w:divsChild>
        <w:div w:id="1525246958">
          <w:marLeft w:val="0"/>
          <w:marRight w:val="0"/>
          <w:marTop w:val="0"/>
          <w:marBottom w:val="0"/>
          <w:divBdr>
            <w:top w:val="none" w:sz="0" w:space="0" w:color="auto"/>
            <w:left w:val="none" w:sz="0" w:space="0" w:color="auto"/>
            <w:bottom w:val="none" w:sz="0" w:space="0" w:color="auto"/>
            <w:right w:val="none" w:sz="0" w:space="0" w:color="auto"/>
          </w:divBdr>
        </w:div>
      </w:divsChild>
    </w:div>
    <w:div w:id="559488332">
      <w:bodyDiv w:val="1"/>
      <w:marLeft w:val="0"/>
      <w:marRight w:val="0"/>
      <w:marTop w:val="0"/>
      <w:marBottom w:val="0"/>
      <w:divBdr>
        <w:top w:val="none" w:sz="0" w:space="0" w:color="auto"/>
        <w:left w:val="none" w:sz="0" w:space="0" w:color="auto"/>
        <w:bottom w:val="none" w:sz="0" w:space="0" w:color="auto"/>
        <w:right w:val="none" w:sz="0" w:space="0" w:color="auto"/>
      </w:divBdr>
      <w:divsChild>
        <w:div w:id="1239635187">
          <w:marLeft w:val="0"/>
          <w:marRight w:val="0"/>
          <w:marTop w:val="0"/>
          <w:marBottom w:val="0"/>
          <w:divBdr>
            <w:top w:val="none" w:sz="0" w:space="0" w:color="auto"/>
            <w:left w:val="none" w:sz="0" w:space="0" w:color="auto"/>
            <w:bottom w:val="none" w:sz="0" w:space="0" w:color="auto"/>
            <w:right w:val="none" w:sz="0" w:space="0" w:color="auto"/>
          </w:divBdr>
        </w:div>
      </w:divsChild>
    </w:div>
    <w:div w:id="1035734184">
      <w:bodyDiv w:val="1"/>
      <w:marLeft w:val="0"/>
      <w:marRight w:val="0"/>
      <w:marTop w:val="0"/>
      <w:marBottom w:val="0"/>
      <w:divBdr>
        <w:top w:val="none" w:sz="0" w:space="0" w:color="auto"/>
        <w:left w:val="none" w:sz="0" w:space="0" w:color="auto"/>
        <w:bottom w:val="none" w:sz="0" w:space="0" w:color="auto"/>
        <w:right w:val="none" w:sz="0" w:space="0" w:color="auto"/>
      </w:divBdr>
      <w:divsChild>
        <w:div w:id="1144470794">
          <w:marLeft w:val="504"/>
          <w:marRight w:val="0"/>
          <w:marTop w:val="140"/>
          <w:marBottom w:val="0"/>
          <w:divBdr>
            <w:top w:val="none" w:sz="0" w:space="0" w:color="auto"/>
            <w:left w:val="none" w:sz="0" w:space="0" w:color="auto"/>
            <w:bottom w:val="none" w:sz="0" w:space="0" w:color="auto"/>
            <w:right w:val="none" w:sz="0" w:space="0" w:color="auto"/>
          </w:divBdr>
        </w:div>
      </w:divsChild>
    </w:div>
    <w:div w:id="1133868025">
      <w:bodyDiv w:val="1"/>
      <w:marLeft w:val="0"/>
      <w:marRight w:val="0"/>
      <w:marTop w:val="0"/>
      <w:marBottom w:val="0"/>
      <w:divBdr>
        <w:top w:val="none" w:sz="0" w:space="0" w:color="auto"/>
        <w:left w:val="none" w:sz="0" w:space="0" w:color="auto"/>
        <w:bottom w:val="none" w:sz="0" w:space="0" w:color="auto"/>
        <w:right w:val="none" w:sz="0" w:space="0" w:color="auto"/>
      </w:divBdr>
      <w:divsChild>
        <w:div w:id="1667828702">
          <w:marLeft w:val="504"/>
          <w:marRight w:val="0"/>
          <w:marTop w:val="140"/>
          <w:marBottom w:val="0"/>
          <w:divBdr>
            <w:top w:val="none" w:sz="0" w:space="0" w:color="auto"/>
            <w:left w:val="none" w:sz="0" w:space="0" w:color="auto"/>
            <w:bottom w:val="none" w:sz="0" w:space="0" w:color="auto"/>
            <w:right w:val="none" w:sz="0" w:space="0" w:color="auto"/>
          </w:divBdr>
        </w:div>
      </w:divsChild>
    </w:div>
    <w:div w:id="1800299310">
      <w:bodyDiv w:val="1"/>
      <w:marLeft w:val="0"/>
      <w:marRight w:val="0"/>
      <w:marTop w:val="0"/>
      <w:marBottom w:val="0"/>
      <w:divBdr>
        <w:top w:val="none" w:sz="0" w:space="0" w:color="auto"/>
        <w:left w:val="none" w:sz="0" w:space="0" w:color="auto"/>
        <w:bottom w:val="none" w:sz="0" w:space="0" w:color="auto"/>
        <w:right w:val="none" w:sz="0" w:space="0" w:color="auto"/>
      </w:divBdr>
      <w:divsChild>
        <w:div w:id="38479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clemson.edu/cfo/budgets/PeopleSoft-Budget-Training.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lemson.edu/finance/controller/schedules/fy_21_monthly_closing_schedule.xl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Charles</dc:creator>
  <cp:keywords/>
  <dc:description/>
  <cp:lastModifiedBy>Garrett Charles</cp:lastModifiedBy>
  <cp:revision>2</cp:revision>
  <dcterms:created xsi:type="dcterms:W3CDTF">2021-06-24T20:50:00Z</dcterms:created>
  <dcterms:modified xsi:type="dcterms:W3CDTF">2021-06-24T20:50:00Z</dcterms:modified>
</cp:coreProperties>
</file>