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23" w:rsidRPr="005824C2" w:rsidRDefault="001F1323" w:rsidP="001F1323">
      <w:pPr>
        <w:jc w:val="center"/>
        <w:rPr>
          <w:rFonts w:ascii="Arial" w:hAnsi="Arial" w:cs="Arial"/>
          <w:b/>
          <w:bCs/>
          <w:i/>
        </w:rPr>
      </w:pPr>
      <w:r w:rsidRPr="005824C2">
        <w:rPr>
          <w:rFonts w:ascii="Arial" w:hAnsi="Arial" w:cs="Arial"/>
          <w:b/>
          <w:bCs/>
          <w:i/>
        </w:rPr>
        <w:t>Proposal Form Instructions</w:t>
      </w:r>
    </w:p>
    <w:p w:rsidR="001F1323" w:rsidRDefault="001F1323" w:rsidP="001F1323">
      <w:pPr>
        <w:jc w:val="center"/>
        <w:rPr>
          <w:rFonts w:ascii="Arial" w:hAnsi="Arial" w:cs="Arial"/>
          <w:b/>
          <w:bCs/>
        </w:rPr>
      </w:pPr>
    </w:p>
    <w:p w:rsidR="001F1323" w:rsidRPr="001F1323" w:rsidRDefault="001F1323" w:rsidP="001F1323">
      <w:pPr>
        <w:rPr>
          <w:rFonts w:ascii="Arial" w:hAnsi="Arial" w:cs="Arial"/>
        </w:rPr>
      </w:pPr>
      <w:r w:rsidRPr="001F1323">
        <w:rPr>
          <w:rFonts w:ascii="Arial" w:hAnsi="Arial" w:cs="Arial"/>
        </w:rPr>
        <w:t xml:space="preserve">Please complete the required </w:t>
      </w:r>
      <w:r>
        <w:rPr>
          <w:rFonts w:ascii="Arial" w:hAnsi="Arial" w:cs="Arial"/>
        </w:rPr>
        <w:t>form using ARIA</w:t>
      </w:r>
      <w:r w:rsidRPr="001F1323">
        <w:rPr>
          <w:rFonts w:ascii="Arial" w:hAnsi="Arial" w:cs="Arial"/>
        </w:rPr>
        <w:t xml:space="preserve">L 10 pt. font.  Do not exceed the space allotted for each response (see character limitations for each element). If the proposal contains more information than requested (i.e., it exceeds the maximum length allowed or contains unrequested attachments), the proposal may be returned for revision, which may, in turn, delay the proposal’s progress. </w:t>
      </w:r>
    </w:p>
    <w:p w:rsidR="001F1323" w:rsidRPr="001F1323" w:rsidRDefault="001F1323" w:rsidP="001F1323">
      <w:pPr>
        <w:rPr>
          <w:rFonts w:ascii="Arial" w:hAnsi="Arial" w:cs="Arial"/>
        </w:rPr>
      </w:pPr>
    </w:p>
    <w:p w:rsidR="001F1323" w:rsidRPr="001F1323" w:rsidRDefault="001F1323" w:rsidP="001F1323">
      <w:pPr>
        <w:rPr>
          <w:rFonts w:ascii="Arial" w:hAnsi="Arial" w:cs="Arial"/>
        </w:rPr>
      </w:pPr>
      <w:r w:rsidRPr="001F1323">
        <w:rPr>
          <w:rFonts w:ascii="Arial" w:hAnsi="Arial" w:cs="Arial"/>
        </w:rPr>
        <w:t xml:space="preserve">When marking the appropriate response for the checkboxes, highlight the box, click on properties, and select “checked.” </w:t>
      </w:r>
    </w:p>
    <w:p w:rsidR="001F1323" w:rsidRPr="001F1323" w:rsidRDefault="001F1323" w:rsidP="001F1323"/>
    <w:p w:rsidR="001F1323" w:rsidRPr="001F1323" w:rsidRDefault="001F1323" w:rsidP="001F1323">
      <w:pPr>
        <w:rPr>
          <w:rFonts w:ascii="Arial" w:hAnsi="Arial" w:cs="Arial"/>
        </w:rPr>
      </w:pPr>
      <w:r w:rsidRPr="001F1323">
        <w:rPr>
          <w:rFonts w:ascii="Arial" w:hAnsi="Arial" w:cs="Arial"/>
        </w:rPr>
        <w:t xml:space="preserve">For charts pertaining to employment opportunities, list of similar programs, curriculum, course descriptions, faculty, and student learning assessment, unused rows may be deleted to add space to previous rows; however, the chart cannot exceed the space allotted (i.e., it cannot continue onto the next page). </w:t>
      </w:r>
    </w:p>
    <w:p w:rsidR="00601BA6" w:rsidRDefault="00601BA6"/>
    <w:p w:rsidR="005824C2" w:rsidRDefault="005824C2"/>
    <w:p w:rsidR="005824C2" w:rsidRDefault="005824C2" w:rsidP="005824C2">
      <w:pPr>
        <w:jc w:val="center"/>
        <w:rPr>
          <w:rFonts w:ascii="Arial" w:hAnsi="Arial" w:cs="Arial"/>
          <w:b/>
          <w:i/>
        </w:rPr>
      </w:pPr>
      <w:r w:rsidRPr="005824C2">
        <w:rPr>
          <w:rFonts w:ascii="Arial" w:hAnsi="Arial" w:cs="Arial"/>
          <w:b/>
          <w:i/>
        </w:rPr>
        <w:t xml:space="preserve">For CHE Proposal related to </w:t>
      </w:r>
      <w:r>
        <w:rPr>
          <w:rFonts w:ascii="Arial" w:hAnsi="Arial" w:cs="Arial"/>
          <w:b/>
          <w:i/>
        </w:rPr>
        <w:t>Job Opportunities for Graduates</w:t>
      </w:r>
    </w:p>
    <w:p w:rsidR="005824C2" w:rsidRDefault="005824C2" w:rsidP="005824C2">
      <w:pPr>
        <w:jc w:val="center"/>
        <w:rPr>
          <w:rFonts w:ascii="Arial" w:hAnsi="Arial" w:cs="Arial"/>
          <w:b/>
          <w:i/>
        </w:rPr>
      </w:pPr>
      <w:r w:rsidRPr="005824C2">
        <w:rPr>
          <w:rFonts w:ascii="Arial" w:hAnsi="Arial" w:cs="Arial"/>
          <w:b/>
          <w:i/>
        </w:rPr>
        <w:t xml:space="preserve"> </w:t>
      </w:r>
    </w:p>
    <w:p w:rsidR="005824C2" w:rsidRPr="005824C2" w:rsidRDefault="005824C2" w:rsidP="005824C2">
      <w:pPr>
        <w:rPr>
          <w:rFonts w:ascii="Arial" w:hAnsi="Arial" w:cs="Arial"/>
          <w:b/>
          <w:i/>
        </w:rPr>
      </w:pPr>
      <w:r>
        <w:rPr>
          <w:rFonts w:ascii="Arial" w:hAnsi="Arial" w:cs="Arial"/>
          <w:b/>
          <w:i/>
        </w:rPr>
        <w:t>P</w:t>
      </w:r>
      <w:r w:rsidRPr="005824C2">
        <w:rPr>
          <w:rFonts w:ascii="Arial" w:hAnsi="Arial" w:cs="Arial"/>
          <w:b/>
          <w:i/>
        </w:rPr>
        <w:t xml:space="preserve">lease use the following state resources </w:t>
      </w:r>
      <w:r w:rsidRPr="005824C2">
        <w:rPr>
          <w:rFonts w:ascii="Arial" w:hAnsi="Arial" w:cs="Arial"/>
          <w:b/>
          <w:i/>
          <w:u w:val="single"/>
        </w:rPr>
        <w:t>in addition to</w:t>
      </w:r>
      <w:r w:rsidRPr="005824C2">
        <w:rPr>
          <w:rFonts w:ascii="Arial" w:hAnsi="Arial" w:cs="Arial"/>
          <w:b/>
          <w:i/>
        </w:rPr>
        <w:t xml:space="preserve"> other state and federal sources of job placement/opportunities.</w:t>
      </w:r>
    </w:p>
    <w:p w:rsidR="005824C2" w:rsidRPr="005824C2" w:rsidRDefault="005824C2" w:rsidP="005824C2">
      <w:pPr>
        <w:rPr>
          <w:rFonts w:ascii="Arial" w:hAnsi="Arial" w:cs="Arial"/>
          <w:i/>
        </w:rPr>
      </w:pPr>
    </w:p>
    <w:p w:rsidR="005824C2" w:rsidRPr="005824C2" w:rsidRDefault="005824C2" w:rsidP="005824C2">
      <w:pPr>
        <w:pStyle w:val="Default"/>
        <w:rPr>
          <w:b/>
          <w:bCs/>
          <w:color w:val="222222"/>
          <w:sz w:val="22"/>
          <w:szCs w:val="22"/>
        </w:rPr>
      </w:pPr>
      <w:r w:rsidRPr="005824C2">
        <w:rPr>
          <w:b/>
          <w:bCs/>
          <w:color w:val="222222"/>
          <w:sz w:val="22"/>
          <w:szCs w:val="22"/>
        </w:rPr>
        <w:t xml:space="preserve">Economic Development Organizations </w:t>
      </w:r>
    </w:p>
    <w:p w:rsidR="005824C2" w:rsidRPr="005824C2" w:rsidRDefault="005824C2" w:rsidP="005824C2">
      <w:pPr>
        <w:pStyle w:val="Default"/>
        <w:rPr>
          <w:color w:val="222222"/>
          <w:sz w:val="22"/>
          <w:szCs w:val="22"/>
        </w:rPr>
      </w:pPr>
    </w:p>
    <w:p w:rsidR="005824C2" w:rsidRPr="005824C2" w:rsidRDefault="005824C2" w:rsidP="005824C2">
      <w:pPr>
        <w:pStyle w:val="Default"/>
        <w:rPr>
          <w:color w:val="222222"/>
          <w:sz w:val="22"/>
          <w:szCs w:val="22"/>
        </w:rPr>
      </w:pPr>
      <w:proofErr w:type="spellStart"/>
      <w:r w:rsidRPr="005824C2">
        <w:rPr>
          <w:color w:val="0000FF"/>
          <w:sz w:val="22"/>
          <w:szCs w:val="22"/>
        </w:rPr>
        <w:t>SCIWay</w:t>
      </w:r>
      <w:proofErr w:type="spellEnd"/>
      <w:r w:rsidRPr="005824C2">
        <w:rPr>
          <w:color w:val="0000FF"/>
          <w:sz w:val="22"/>
          <w:szCs w:val="22"/>
        </w:rPr>
        <w:t xml:space="preserve"> </w:t>
      </w:r>
      <w:r w:rsidRPr="005824C2">
        <w:rPr>
          <w:color w:val="222222"/>
          <w:sz w:val="22"/>
          <w:szCs w:val="22"/>
        </w:rPr>
        <w:t xml:space="preserve">has one of the more comprehensive lists of economic development organizations, encompassing both local and regional groups. Examples: </w:t>
      </w:r>
    </w:p>
    <w:p w:rsidR="005824C2" w:rsidRPr="005824C2" w:rsidRDefault="005824C2" w:rsidP="005824C2">
      <w:pPr>
        <w:pStyle w:val="Default"/>
        <w:rPr>
          <w:color w:val="222222"/>
          <w:sz w:val="22"/>
          <w:szCs w:val="22"/>
        </w:rPr>
      </w:pPr>
    </w:p>
    <w:p w:rsidR="005824C2" w:rsidRPr="005824C2" w:rsidRDefault="005824C2" w:rsidP="005824C2">
      <w:pPr>
        <w:pStyle w:val="Default"/>
        <w:ind w:left="720"/>
        <w:rPr>
          <w:color w:val="222222"/>
          <w:sz w:val="22"/>
          <w:szCs w:val="22"/>
        </w:rPr>
      </w:pPr>
      <w:r w:rsidRPr="005824C2">
        <w:rPr>
          <w:color w:val="222222"/>
          <w:sz w:val="22"/>
          <w:szCs w:val="22"/>
        </w:rPr>
        <w:t xml:space="preserve">• </w:t>
      </w:r>
      <w:r w:rsidRPr="005824C2">
        <w:rPr>
          <w:color w:val="0000FF"/>
          <w:sz w:val="22"/>
          <w:szCs w:val="22"/>
        </w:rPr>
        <w:t xml:space="preserve">Central SC Alliance </w:t>
      </w:r>
      <w:r w:rsidRPr="005824C2">
        <w:rPr>
          <w:color w:val="222222"/>
          <w:sz w:val="22"/>
          <w:szCs w:val="22"/>
        </w:rPr>
        <w:t xml:space="preserve">(Counties of Calhoun, Clarendon, Fairfield, Kershaw, Lexington, McCormick, Newberry, Orangeburg, Richland + City of Columbia) </w:t>
      </w:r>
    </w:p>
    <w:p w:rsidR="005824C2" w:rsidRPr="005824C2" w:rsidRDefault="005824C2" w:rsidP="005824C2">
      <w:pPr>
        <w:pStyle w:val="Default"/>
        <w:ind w:left="720"/>
        <w:rPr>
          <w:sz w:val="22"/>
          <w:szCs w:val="22"/>
        </w:rPr>
      </w:pPr>
      <w:r w:rsidRPr="005824C2">
        <w:rPr>
          <w:color w:val="222222"/>
          <w:sz w:val="22"/>
          <w:szCs w:val="22"/>
        </w:rPr>
        <w:t xml:space="preserve">• </w:t>
      </w:r>
      <w:r w:rsidRPr="005824C2">
        <w:rPr>
          <w:color w:val="0000FF"/>
          <w:sz w:val="22"/>
          <w:szCs w:val="22"/>
        </w:rPr>
        <w:t xml:space="preserve">Charleston Regional Development Alliance </w:t>
      </w:r>
      <w:r w:rsidRPr="005824C2">
        <w:rPr>
          <w:color w:val="222222"/>
          <w:sz w:val="22"/>
          <w:szCs w:val="22"/>
        </w:rPr>
        <w:t xml:space="preserve">(Counties of Berkeley, Charleston, Dorchester) </w:t>
      </w:r>
    </w:p>
    <w:p w:rsidR="005824C2" w:rsidRPr="005824C2" w:rsidRDefault="005824C2" w:rsidP="005824C2">
      <w:pPr>
        <w:pStyle w:val="Default"/>
        <w:ind w:left="720"/>
        <w:rPr>
          <w:sz w:val="22"/>
          <w:szCs w:val="22"/>
        </w:rPr>
      </w:pPr>
      <w:r w:rsidRPr="005824C2">
        <w:rPr>
          <w:color w:val="222222"/>
          <w:sz w:val="22"/>
          <w:szCs w:val="22"/>
        </w:rPr>
        <w:t xml:space="preserve">• </w:t>
      </w:r>
      <w:r w:rsidRPr="005824C2">
        <w:rPr>
          <w:color w:val="0000FF"/>
          <w:sz w:val="22"/>
          <w:szCs w:val="22"/>
        </w:rPr>
        <w:t xml:space="preserve">Economic Development Partnership </w:t>
      </w:r>
      <w:r w:rsidRPr="005824C2">
        <w:rPr>
          <w:color w:val="222222"/>
          <w:sz w:val="22"/>
          <w:szCs w:val="22"/>
        </w:rPr>
        <w:t xml:space="preserve">(Counties of Aiken, Edgefield, Saluda) </w:t>
      </w:r>
    </w:p>
    <w:p w:rsidR="005824C2" w:rsidRPr="005824C2" w:rsidRDefault="005824C2" w:rsidP="005824C2">
      <w:pPr>
        <w:pStyle w:val="Default"/>
        <w:ind w:left="720"/>
        <w:rPr>
          <w:color w:val="222222"/>
          <w:sz w:val="22"/>
          <w:szCs w:val="22"/>
        </w:rPr>
      </w:pPr>
      <w:r w:rsidRPr="005824C2">
        <w:rPr>
          <w:color w:val="222222"/>
          <w:sz w:val="22"/>
          <w:szCs w:val="22"/>
        </w:rPr>
        <w:t xml:space="preserve">• </w:t>
      </w:r>
      <w:r w:rsidRPr="005824C2">
        <w:rPr>
          <w:color w:val="0000FF"/>
          <w:sz w:val="22"/>
          <w:szCs w:val="22"/>
        </w:rPr>
        <w:t xml:space="preserve">Northeastern Strategic Alliance </w:t>
      </w:r>
      <w:r w:rsidRPr="005824C2">
        <w:rPr>
          <w:color w:val="222222"/>
          <w:sz w:val="22"/>
          <w:szCs w:val="22"/>
        </w:rPr>
        <w:t xml:space="preserve">(Counties of Chesterfield, Darlington, Dillon, Florence, Georgetown, Horry, Marion, Marlboro, Williamsburg) </w:t>
      </w:r>
    </w:p>
    <w:p w:rsidR="005824C2" w:rsidRPr="005824C2" w:rsidRDefault="005824C2" w:rsidP="005824C2">
      <w:pPr>
        <w:pStyle w:val="Default"/>
        <w:ind w:left="720"/>
        <w:rPr>
          <w:color w:val="222222"/>
          <w:sz w:val="22"/>
          <w:szCs w:val="22"/>
        </w:rPr>
      </w:pPr>
      <w:r w:rsidRPr="005824C2">
        <w:rPr>
          <w:color w:val="222222"/>
          <w:sz w:val="22"/>
          <w:szCs w:val="22"/>
        </w:rPr>
        <w:t xml:space="preserve">• </w:t>
      </w:r>
      <w:r w:rsidRPr="005824C2">
        <w:rPr>
          <w:color w:val="0000FF"/>
          <w:sz w:val="22"/>
          <w:szCs w:val="22"/>
        </w:rPr>
        <w:t xml:space="preserve">Southern Carolina Regional Development Alliance </w:t>
      </w:r>
      <w:r w:rsidRPr="005824C2">
        <w:rPr>
          <w:color w:val="222222"/>
          <w:sz w:val="22"/>
          <w:szCs w:val="22"/>
        </w:rPr>
        <w:t xml:space="preserve">(Counties of Allendale, Bamberg, Barnwell, Colleton, Hampton, Jasper) </w:t>
      </w:r>
    </w:p>
    <w:p w:rsidR="005824C2" w:rsidRPr="005824C2" w:rsidRDefault="005824C2" w:rsidP="005824C2">
      <w:pPr>
        <w:pStyle w:val="Default"/>
        <w:ind w:left="720"/>
        <w:rPr>
          <w:color w:val="222222"/>
          <w:sz w:val="22"/>
          <w:szCs w:val="22"/>
        </w:rPr>
      </w:pPr>
      <w:r w:rsidRPr="005824C2">
        <w:rPr>
          <w:color w:val="222222"/>
          <w:sz w:val="22"/>
          <w:szCs w:val="22"/>
        </w:rPr>
        <w:t xml:space="preserve">• </w:t>
      </w:r>
      <w:r w:rsidRPr="005824C2">
        <w:rPr>
          <w:color w:val="0000FF"/>
          <w:sz w:val="22"/>
          <w:szCs w:val="22"/>
        </w:rPr>
        <w:t xml:space="preserve">Upstate Alliance </w:t>
      </w:r>
      <w:r w:rsidRPr="005824C2">
        <w:rPr>
          <w:color w:val="222222"/>
          <w:sz w:val="22"/>
          <w:szCs w:val="22"/>
        </w:rPr>
        <w:t xml:space="preserve">(Counties of Abbeville, Anderson, Cherokee, Greenville, Greenwood, Laurens, Oconee, Pickens, Spartanburg, Union) </w:t>
      </w:r>
    </w:p>
    <w:p w:rsidR="005824C2" w:rsidRPr="005824C2" w:rsidRDefault="005824C2" w:rsidP="005824C2">
      <w:pPr>
        <w:pStyle w:val="Default"/>
        <w:rPr>
          <w:color w:val="222222"/>
          <w:sz w:val="22"/>
          <w:szCs w:val="22"/>
        </w:rPr>
      </w:pPr>
    </w:p>
    <w:p w:rsidR="005824C2" w:rsidRPr="005824C2" w:rsidRDefault="005824C2" w:rsidP="005824C2">
      <w:pPr>
        <w:pStyle w:val="Default"/>
        <w:rPr>
          <w:color w:val="222222"/>
          <w:sz w:val="22"/>
          <w:szCs w:val="22"/>
        </w:rPr>
      </w:pPr>
      <w:r w:rsidRPr="005824C2">
        <w:rPr>
          <w:color w:val="222222"/>
          <w:sz w:val="22"/>
          <w:szCs w:val="22"/>
        </w:rPr>
        <w:t xml:space="preserve">Each provides varying levels of information, data, and/or downloadable reports on workforce and employment. </w:t>
      </w:r>
    </w:p>
    <w:p w:rsidR="005824C2" w:rsidRPr="005824C2" w:rsidRDefault="005824C2" w:rsidP="005824C2">
      <w:pPr>
        <w:pStyle w:val="Default"/>
        <w:rPr>
          <w:color w:val="222222"/>
          <w:sz w:val="22"/>
          <w:szCs w:val="22"/>
        </w:rPr>
      </w:pPr>
    </w:p>
    <w:p w:rsidR="005824C2" w:rsidRPr="005824C2" w:rsidRDefault="005824C2" w:rsidP="005824C2">
      <w:pPr>
        <w:pStyle w:val="Default"/>
        <w:rPr>
          <w:color w:val="222222"/>
          <w:sz w:val="22"/>
          <w:szCs w:val="22"/>
        </w:rPr>
      </w:pPr>
      <w:r w:rsidRPr="005824C2">
        <w:rPr>
          <w:color w:val="222222"/>
          <w:sz w:val="22"/>
          <w:szCs w:val="22"/>
        </w:rPr>
        <w:t xml:space="preserve">Also, the SC Dept. of Commerce has published a </w:t>
      </w:r>
      <w:r w:rsidRPr="005824C2">
        <w:rPr>
          <w:color w:val="0000FF"/>
          <w:sz w:val="22"/>
          <w:szCs w:val="22"/>
        </w:rPr>
        <w:t xml:space="preserve">County Labor Market Analysis </w:t>
      </w:r>
      <w:r w:rsidRPr="005824C2">
        <w:rPr>
          <w:color w:val="222222"/>
          <w:sz w:val="22"/>
          <w:szCs w:val="22"/>
        </w:rPr>
        <w:t xml:space="preserve">resource that has a two-page </w:t>
      </w:r>
      <w:r w:rsidRPr="005824C2">
        <w:rPr>
          <w:i/>
          <w:iCs/>
          <w:color w:val="222222"/>
          <w:sz w:val="22"/>
          <w:szCs w:val="22"/>
        </w:rPr>
        <w:t xml:space="preserve">Labor Profile </w:t>
      </w:r>
      <w:r w:rsidRPr="005824C2">
        <w:rPr>
          <w:color w:val="222222"/>
          <w:sz w:val="22"/>
          <w:szCs w:val="22"/>
        </w:rPr>
        <w:t xml:space="preserve">sheet on each county. </w:t>
      </w:r>
    </w:p>
    <w:p w:rsidR="005824C2" w:rsidRPr="005824C2" w:rsidRDefault="005824C2" w:rsidP="005824C2">
      <w:pPr>
        <w:rPr>
          <w:rFonts w:ascii="Arial" w:hAnsi="Arial" w:cs="Arial"/>
        </w:rPr>
      </w:pPr>
    </w:p>
    <w:p w:rsidR="005824C2" w:rsidRPr="005824C2" w:rsidRDefault="005824C2" w:rsidP="005824C2">
      <w:pPr>
        <w:rPr>
          <w:rFonts w:ascii="Arial" w:hAnsi="Arial" w:cs="Arial"/>
        </w:rPr>
      </w:pPr>
    </w:p>
    <w:p w:rsidR="005824C2" w:rsidRPr="005824C2" w:rsidRDefault="005824C2" w:rsidP="005824C2">
      <w:pPr>
        <w:rPr>
          <w:rFonts w:ascii="Arial" w:hAnsi="Arial" w:cs="Arial"/>
        </w:rPr>
      </w:pPr>
      <w:r w:rsidRPr="005824C2">
        <w:rPr>
          <w:rFonts w:ascii="Arial" w:hAnsi="Arial" w:cs="Arial"/>
        </w:rPr>
        <w:t xml:space="preserve">Source: Kris </w:t>
      </w:r>
      <w:proofErr w:type="spellStart"/>
      <w:r w:rsidRPr="005824C2">
        <w:rPr>
          <w:rFonts w:ascii="Arial" w:hAnsi="Arial" w:cs="Arial"/>
        </w:rPr>
        <w:t>Finnigan</w:t>
      </w:r>
      <w:proofErr w:type="spellEnd"/>
      <w:r w:rsidRPr="005824C2">
        <w:rPr>
          <w:rFonts w:ascii="Arial" w:hAnsi="Arial" w:cs="Arial"/>
        </w:rPr>
        <w:t>, Ph.D., USC, Sept. 2015</w:t>
      </w:r>
      <w:r>
        <w:rPr>
          <w:rFonts w:ascii="Arial" w:hAnsi="Arial" w:cs="Arial"/>
        </w:rPr>
        <w:t>; John Lane, PhD, CHE Director of Academic Affairs</w:t>
      </w:r>
      <w:bookmarkStart w:id="0" w:name="_GoBack"/>
      <w:bookmarkEnd w:id="0"/>
    </w:p>
    <w:p w:rsidR="005824C2" w:rsidRPr="005824C2" w:rsidRDefault="005824C2">
      <w:pPr>
        <w:rPr>
          <w:rFonts w:ascii="Arial" w:hAnsi="Arial" w:cs="Arial"/>
        </w:rPr>
      </w:pPr>
    </w:p>
    <w:sectPr w:rsidR="005824C2" w:rsidRPr="00582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23"/>
    <w:rsid w:val="001F1323"/>
    <w:rsid w:val="005176EC"/>
    <w:rsid w:val="005824C2"/>
    <w:rsid w:val="00601BA6"/>
    <w:rsid w:val="00902FAF"/>
    <w:rsid w:val="00BF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23"/>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24C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23"/>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24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Trena Houp</dc:creator>
  <cp:lastModifiedBy>Debbie Jackson</cp:lastModifiedBy>
  <cp:revision>2</cp:revision>
  <dcterms:created xsi:type="dcterms:W3CDTF">2016-03-21T14:13:00Z</dcterms:created>
  <dcterms:modified xsi:type="dcterms:W3CDTF">2016-03-21T14:13:00Z</dcterms:modified>
</cp:coreProperties>
</file>