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D6DB" w14:textId="1248AE0D" w:rsidR="00D25599" w:rsidRPr="00D25599" w:rsidRDefault="00D25599" w:rsidP="00D25599">
      <w:pPr>
        <w:pStyle w:val="Heading1"/>
      </w:pPr>
      <w:r w:rsidRPr="00D25599">
        <w:t>Understanding the "Info" in Infotainment Systems: Users' Security and Privacy Concerns Regarding Data Collection from Head Units</w:t>
      </w:r>
    </w:p>
    <w:p w14:paraId="0047C940" w14:textId="77777777" w:rsidR="00D25599" w:rsidRPr="00D25599" w:rsidRDefault="00D25599" w:rsidP="00D25599">
      <w:pPr>
        <w:pStyle w:val="AuthorNames"/>
      </w:pPr>
      <w:r w:rsidRPr="00D25599">
        <w:t xml:space="preserve">Anna Galeano, Mert </w:t>
      </w:r>
      <w:proofErr w:type="spellStart"/>
      <w:r w:rsidRPr="00D25599">
        <w:t>Pesé</w:t>
      </w:r>
      <w:proofErr w:type="spellEnd"/>
      <w:r w:rsidRPr="00D25599">
        <w:t xml:space="preserve">, Pedram </w:t>
      </w:r>
      <w:proofErr w:type="spellStart"/>
      <w:r w:rsidRPr="00D25599">
        <w:t>MohajerAnsari</w:t>
      </w:r>
      <w:proofErr w:type="spellEnd"/>
      <w:r w:rsidRPr="00D25599">
        <w:t xml:space="preserve">, and Arjun </w:t>
      </w:r>
      <w:proofErr w:type="spellStart"/>
      <w:r w:rsidRPr="00D25599">
        <w:t>Arunasalam</w:t>
      </w:r>
      <w:proofErr w:type="spellEnd"/>
    </w:p>
    <w:p w14:paraId="71E6CDE1" w14:textId="731644C9" w:rsidR="00D25599" w:rsidRPr="00D25599" w:rsidRDefault="00D25599" w:rsidP="00D25599">
      <w:pPr>
        <w:pStyle w:val="DepartmentName"/>
      </w:pPr>
      <w:r w:rsidRPr="00D25599">
        <w:t>Computer Science</w:t>
      </w:r>
    </w:p>
    <w:p w14:paraId="68A15DC4" w14:textId="11971A9F" w:rsidR="00E5573E" w:rsidRDefault="00D25599" w:rsidP="00E5573E">
      <w:pPr>
        <w:pStyle w:val="Paragraph"/>
      </w:pPr>
      <w:r w:rsidRPr="00D25599">
        <w:t>Modern vehicle infotainment systems collect vast amounts of personal data (from location and behavioral patterns to connected device information) yet users' security and privacy (S&amp;P) concerns about these systems remain largely unexplored. While prior research has examined S&amp;P attitudes toward smartphones and Internet of Things (IoT) devices, the automotive context presents unique challenges: data collection is often passive, consent mechanisms are opaque, and users have limited control over what their vehicles share and with whom. This study presents the first large-scale analysis of organic user discussions about infotainment system privacy, drawing on posts from automotive communities on Reddit. Using a combination of keyword filtering, machine learning classification, and qualitative thematic analysis (methods adapted from recent work on conversational AI platforms) we systematically identify and categorize users' S&amp;P concerns across themes including data collection, third-party sharing, transparency, and regulatory compliance. We also examine how users' attitudes vary, from proactive data minimizers to resigned acceptors of automotive surveillance, surfacing a potential "Privacy Paradox" in the connected vehicle space. Our findings will serve as actionable policy recommendations for original equipment manufacturers (OEM) to improve transparency and user trust.</w:t>
      </w:r>
    </w:p>
    <w:p w14:paraId="2F01ECFB" w14:textId="77777777" w:rsidR="00E5573E" w:rsidRDefault="00E5573E" w:rsidP="00E5573E">
      <w:pPr>
        <w:pStyle w:val="Heading1"/>
      </w:pPr>
    </w:p>
    <w:p w14:paraId="642A5DA0" w14:textId="775C67AA" w:rsidR="00D25599" w:rsidRPr="00D25599" w:rsidRDefault="00D25599" w:rsidP="00E5573E">
      <w:pPr>
        <w:pStyle w:val="Heading1"/>
      </w:pPr>
      <w:r w:rsidRPr="00D25599">
        <w:t>Conducting Cross</w:t>
      </w:r>
      <w:r w:rsidRPr="00D25599">
        <w:noBreakHyphen/>
        <w:t>Disciplinary Peer Observation as Professional Development Option</w:t>
      </w:r>
    </w:p>
    <w:p w14:paraId="3427631A" w14:textId="5ABB50F4" w:rsidR="00D25599" w:rsidRPr="00D25599" w:rsidRDefault="00D25599" w:rsidP="00D25599">
      <w:pPr>
        <w:pStyle w:val="AuthorNames"/>
      </w:pPr>
      <w:r w:rsidRPr="00D25599">
        <w:t>Becky Tugman, Alfred Bundrick, Lauren Stephens, Lexi D'Orazio, Taimi Olsen</w:t>
      </w:r>
    </w:p>
    <w:p w14:paraId="1FB176FD" w14:textId="7C6BEF2A" w:rsidR="00E5573E" w:rsidRDefault="00D25599" w:rsidP="00E5573E">
      <w:pPr>
        <w:pStyle w:val="DepartmentName"/>
      </w:pPr>
      <w:r w:rsidRPr="00D25599">
        <w:t>Public Health Sciences</w:t>
      </w:r>
    </w:p>
    <w:p w14:paraId="4405D417" w14:textId="785CEB07" w:rsidR="00D25599" w:rsidRPr="00D25599" w:rsidRDefault="00D25599" w:rsidP="00D25599">
      <w:pPr>
        <w:pStyle w:val="Paragraph"/>
      </w:pPr>
      <w:r w:rsidRPr="00D25599">
        <w:t xml:space="preserve">The CBSHS Teaching Effectiveness Community (TEC) is a community of practice designed to provide collaborative peer observation of teaching as a service to the college. Their process has since been disseminated by OTEI and the Office of Faculty Advancement to certify faculty observers across campus. This poster reports on the development of the TEC model and examines the professional development impacts experienced by faculty trained and certified as peer observers. Over four years, the TEC invested in literature review, protocol development, iterative practice, and faculty training, creating a sustainable model </w:t>
      </w:r>
      <w:r w:rsidRPr="00D25599">
        <w:lastRenderedPageBreak/>
        <w:t>that integrates observation into both formative development and evaluative processes. Faculty complete a structured training course and are then certified through a peer observation experience with a non-disciplinary peer. The authors surveyed 38 certified peer observers to gain insight into the professional development effects of being an observer. Results highlight the development of new pedagogical ideas, expanded networks with non-disciplinary peers, improved ability to identify evidence of teaching effectiveness, and enhanced self-reflection on teaching practice.</w:t>
      </w:r>
    </w:p>
    <w:p w14:paraId="001ACDFD" w14:textId="77777777" w:rsidR="00D25599" w:rsidRPr="00D25599" w:rsidRDefault="00D25599" w:rsidP="00D25599">
      <w:pPr>
        <w:pStyle w:val="Paragraph"/>
      </w:pPr>
    </w:p>
    <w:p w14:paraId="4E84846B" w14:textId="298CC6BB" w:rsidR="00D25599" w:rsidRPr="00D25599" w:rsidRDefault="00D25599" w:rsidP="00E5573E">
      <w:pPr>
        <w:pStyle w:val="Heading1"/>
      </w:pPr>
      <w:r w:rsidRPr="00D25599">
        <w:t>Evaluating Cardiotoxicity of Modern E-Cigarette Ingredients on Human Stem Cell–Derived Cardiomyocytes</w:t>
      </w:r>
    </w:p>
    <w:p w14:paraId="0F1AE597" w14:textId="77777777" w:rsidR="00D25599" w:rsidRPr="00D25599" w:rsidRDefault="00D25599" w:rsidP="00D25599">
      <w:pPr>
        <w:pStyle w:val="AuthorNames"/>
      </w:pPr>
      <w:r w:rsidRPr="00D25599">
        <w:t>Cameron Brown, Andrea Fletcher, &amp; Qing Liu</w:t>
      </w:r>
    </w:p>
    <w:p w14:paraId="2552E769" w14:textId="7B8A47B3" w:rsidR="00D25599" w:rsidRPr="00D25599" w:rsidRDefault="00D25599" w:rsidP="00D25599">
      <w:pPr>
        <w:pStyle w:val="DepartmentName"/>
      </w:pPr>
      <w:r w:rsidRPr="00D25599">
        <w:t>Biological Sciences</w:t>
      </w:r>
    </w:p>
    <w:p w14:paraId="4894318A" w14:textId="77777777" w:rsidR="00D25599" w:rsidRPr="00D25599" w:rsidRDefault="00D25599" w:rsidP="00D25599">
      <w:pPr>
        <w:pStyle w:val="Paragraph"/>
      </w:pPr>
      <w:r w:rsidRPr="00D25599">
        <w:t>The widespread use of electronic nicotine delivery systems has raised significant public health concerns, yet their tissue-specific effects on cardiomyocytes (CMs) remain incompletely understood due to previous studies relying on non-human models and static, supraphysiological dosing. To address these limitations, we evaluated the cardiotoxicity of prevalent e-cigarette ingredients—freebase L-nicotine, nicotine benzoate salt, and propylene glycol (PG) solvent—on human embryonic stem cell-derived cardiomyocytes (</w:t>
      </w:r>
      <w:proofErr w:type="spellStart"/>
      <w:r w:rsidRPr="00D25599">
        <w:t>hESC</w:t>
      </w:r>
      <w:proofErr w:type="spellEnd"/>
      <w:r w:rsidRPr="00D25599">
        <w:t xml:space="preserve">-CMs). We implemented a dynamic, chronic two-week exposure model designed to mimic the fluctuating serum chemical concentrations of an e-cigarette user during alternating wake and sleep cycles. Our functional and structural analyses revealed that these e-cigarette constituents exert distinct and synergistic toxicities. Notably, co-exposure to nicotine and PG exacerbated cardiotoxic phenotypes compared to individual treatments, and the most potent cardiotoxicity was observed in the freebase nicotine and PG co-treatment group. Our findings demonstrate that e-cigarette chemicals are not benign, and specific formulations pose significant, formulation-dependent cardiotoxic risks at </w:t>
      </w:r>
      <w:proofErr w:type="gramStart"/>
      <w:r w:rsidRPr="00D25599">
        <w:t>physiologically-relevant</w:t>
      </w:r>
      <w:proofErr w:type="gramEnd"/>
      <w:r w:rsidRPr="00D25599">
        <w:t xml:space="preserve"> doses.</w:t>
      </w:r>
    </w:p>
    <w:p w14:paraId="0B137ABA" w14:textId="77777777" w:rsidR="00D25599" w:rsidRPr="00D25599" w:rsidRDefault="00D25599" w:rsidP="00D25599">
      <w:pPr>
        <w:pStyle w:val="Paragraph"/>
      </w:pPr>
    </w:p>
    <w:p w14:paraId="3F557BAF" w14:textId="6741DB40" w:rsidR="00D25599" w:rsidRPr="00D25599" w:rsidRDefault="00D25599" w:rsidP="00D25599">
      <w:pPr>
        <w:pStyle w:val="Heading1"/>
      </w:pPr>
      <w:r w:rsidRPr="00D25599">
        <w:t>Developing a Sustainable Chain Extender for PET</w:t>
      </w:r>
    </w:p>
    <w:p w14:paraId="084787AB" w14:textId="77777777" w:rsidR="00D25599" w:rsidRPr="00D25599" w:rsidRDefault="00D25599" w:rsidP="00D25599">
      <w:pPr>
        <w:pStyle w:val="AuthorNames"/>
      </w:pPr>
      <w:r w:rsidRPr="00D25599">
        <w:t xml:space="preserve">Milad </w:t>
      </w:r>
      <w:proofErr w:type="spellStart"/>
      <w:r w:rsidRPr="00D25599">
        <w:t>Imeni</w:t>
      </w:r>
      <w:proofErr w:type="spellEnd"/>
    </w:p>
    <w:p w14:paraId="5DFF9126" w14:textId="65A52856" w:rsidR="00D25599" w:rsidRPr="00D25599" w:rsidRDefault="00D25599" w:rsidP="00E5573E">
      <w:pPr>
        <w:pStyle w:val="DepartmentName"/>
      </w:pPr>
      <w:r w:rsidRPr="00D25599">
        <w:t>Food, Nutrition, and Packaging Sciences</w:t>
      </w:r>
    </w:p>
    <w:p w14:paraId="1E6EB4EE" w14:textId="77777777" w:rsidR="00D25599" w:rsidRPr="00D25599" w:rsidRDefault="00D25599" w:rsidP="00D25599">
      <w:pPr>
        <w:pStyle w:val="Paragraph"/>
      </w:pPr>
      <w:r w:rsidRPr="00D25599">
        <w:t xml:space="preserve">Sustainability and the avoidance of chemical substance toxicity are among the major topics in novel polymer science. Given this, some biobased chemical materials, such as </w:t>
      </w:r>
      <w:r w:rsidRPr="00D25599">
        <w:lastRenderedPageBreak/>
        <w:t xml:space="preserve">Epoxidized soybean oil and its sustainable oligomers, as well as </w:t>
      </w:r>
      <w:proofErr w:type="spellStart"/>
      <w:r w:rsidRPr="00D25599">
        <w:t>cardolite</w:t>
      </w:r>
      <w:proofErr w:type="spellEnd"/>
      <w:r w:rsidRPr="00D25599">
        <w:t xml:space="preserve"> resin, have been selected as a new type of chain extender for a high-performance polymer in industry, such as polyethylene terephthalate. The results, interestingly, showed properties that were satisfactory and comparable to those of common industrial chain extender grades, which are highly likely to be practical for advancing a more sustainable future in the polymer industry. </w:t>
      </w:r>
    </w:p>
    <w:p w14:paraId="53CD9815" w14:textId="77777777" w:rsidR="00D25599" w:rsidRPr="00D25599" w:rsidRDefault="00D25599" w:rsidP="00D25599">
      <w:pPr>
        <w:pStyle w:val="Paragraph"/>
      </w:pPr>
    </w:p>
    <w:p w14:paraId="4D6DE8EC" w14:textId="77777777" w:rsidR="00D25599" w:rsidRPr="00D25599" w:rsidRDefault="00D25599" w:rsidP="00D25599">
      <w:pPr>
        <w:pStyle w:val="Heading1"/>
      </w:pPr>
      <w:r w:rsidRPr="00D25599">
        <w:t>Sustainable chain extender for PLA</w:t>
      </w:r>
    </w:p>
    <w:p w14:paraId="34FD2254" w14:textId="77777777" w:rsidR="00D25599" w:rsidRPr="00D25599" w:rsidRDefault="00D25599" w:rsidP="00D25599">
      <w:pPr>
        <w:pStyle w:val="AuthorNames"/>
      </w:pPr>
      <w:r w:rsidRPr="00D25599">
        <w:t>Nooshin Pedram</w:t>
      </w:r>
    </w:p>
    <w:p w14:paraId="4D392199" w14:textId="2065F242" w:rsidR="00D25599" w:rsidRPr="00D25599" w:rsidRDefault="00D25599" w:rsidP="00D25599">
      <w:pPr>
        <w:pStyle w:val="DepartmentName"/>
      </w:pPr>
      <w:r w:rsidRPr="00D25599">
        <w:t>Food, Nutrition, and Packaging Sciences</w:t>
      </w:r>
    </w:p>
    <w:p w14:paraId="2DC429A9" w14:textId="77777777" w:rsidR="00D25599" w:rsidRPr="00D25599" w:rsidRDefault="00D25599" w:rsidP="00D25599">
      <w:pPr>
        <w:pStyle w:val="Paragraph"/>
      </w:pPr>
    </w:p>
    <w:p w14:paraId="7913EEAD" w14:textId="53C8EB2A" w:rsidR="00D25599" w:rsidRPr="00D25599" w:rsidRDefault="00D25599" w:rsidP="00D25599">
      <w:pPr>
        <w:pStyle w:val="Paragraph"/>
      </w:pPr>
      <w:r w:rsidRPr="00D25599">
        <w:t xml:space="preserve">This work focuses on improving PLA properties as an engineering high performance, </w:t>
      </w:r>
      <w:proofErr w:type="gramStart"/>
      <w:r w:rsidRPr="00D25599">
        <w:t>bio based</w:t>
      </w:r>
      <w:proofErr w:type="gramEnd"/>
      <w:r w:rsidRPr="00D25599">
        <w:t xml:space="preserve"> material for food packaging through </w:t>
      </w:r>
      <w:proofErr w:type="gramStart"/>
      <w:r w:rsidRPr="00D25599">
        <w:t>bio based</w:t>
      </w:r>
      <w:proofErr w:type="gramEnd"/>
      <w:r w:rsidRPr="00D25599">
        <w:t xml:space="preserve"> chain extender. </w:t>
      </w:r>
    </w:p>
    <w:p w14:paraId="7CD159F7" w14:textId="77777777" w:rsidR="00D25599" w:rsidRPr="00D25599" w:rsidRDefault="00D25599" w:rsidP="00D25599">
      <w:pPr>
        <w:pStyle w:val="Paragraph"/>
      </w:pPr>
    </w:p>
    <w:p w14:paraId="66F395F1" w14:textId="7B54F639" w:rsidR="00D25599" w:rsidRPr="00D25599" w:rsidRDefault="00D25599" w:rsidP="00D25599">
      <w:pPr>
        <w:pStyle w:val="Heading1"/>
      </w:pPr>
      <w:r w:rsidRPr="00D25599">
        <w:t xml:space="preserve">Evaluation of Wildfire Preparedness Simulation </w:t>
      </w:r>
      <w:proofErr w:type="spellStart"/>
      <w:r w:rsidRPr="00D25599">
        <w:t>FireReady</w:t>
      </w:r>
      <w:proofErr w:type="spellEnd"/>
      <w:r w:rsidRPr="00D25599">
        <w:t xml:space="preserve"> VRTM by United States Emergency and Disaster Management Professionals </w:t>
      </w:r>
    </w:p>
    <w:p w14:paraId="4B3BFEF6" w14:textId="77777777" w:rsidR="00D25599" w:rsidRPr="00D25599" w:rsidRDefault="00D25599" w:rsidP="00D25599">
      <w:pPr>
        <w:pStyle w:val="AuthorNames"/>
      </w:pPr>
      <w:r w:rsidRPr="00D25599">
        <w:t xml:space="preserve">Olivia </w:t>
      </w:r>
      <w:proofErr w:type="spellStart"/>
      <w:r w:rsidRPr="00D25599">
        <w:t>McAnirlin</w:t>
      </w:r>
      <w:proofErr w:type="spellEnd"/>
      <w:r w:rsidRPr="00D25599">
        <w:t xml:space="preserve"> and Matthew Browning</w:t>
      </w:r>
    </w:p>
    <w:p w14:paraId="5FEA0EAC" w14:textId="7C69B380" w:rsidR="00D25599" w:rsidRPr="00D25599" w:rsidRDefault="00D25599" w:rsidP="00D25599">
      <w:pPr>
        <w:pStyle w:val="DepartmentName"/>
      </w:pPr>
      <w:r w:rsidRPr="00D25599">
        <w:t>Parks, Recreation and Tourism Management</w:t>
      </w:r>
    </w:p>
    <w:p w14:paraId="34354C0E" w14:textId="77777777" w:rsidR="00D25599" w:rsidRPr="00D25599" w:rsidRDefault="00D25599" w:rsidP="00D25599">
      <w:pPr>
        <w:pStyle w:val="Paragraph"/>
      </w:pPr>
      <w:r w:rsidRPr="00D25599">
        <w:t xml:space="preserve">Emergency and disaster management professionals’ adoption of virtual reality (VR) remains limited despite its potential. We bridge this research-practice gap by evaluating </w:t>
      </w:r>
      <w:proofErr w:type="spellStart"/>
      <w:r w:rsidRPr="00D25599">
        <w:t>FireReady</w:t>
      </w:r>
      <w:proofErr w:type="spellEnd"/>
      <w:r w:rsidRPr="00D25599">
        <w:t xml:space="preserve"> </w:t>
      </w:r>
      <w:proofErr w:type="gramStart"/>
      <w:r w:rsidRPr="00D25599">
        <w:t>VR(</w:t>
      </w:r>
      <w:proofErr w:type="gramEnd"/>
      <w:r w:rsidRPr="00D25599">
        <w:t xml:space="preserve">tm), a wildfire preparedness simulation developed by </w:t>
      </w:r>
      <w:proofErr w:type="spellStart"/>
      <w:r w:rsidRPr="00D25599">
        <w:t>ForeReady</w:t>
      </w:r>
      <w:proofErr w:type="spellEnd"/>
      <w:r w:rsidRPr="00D25599">
        <w:t xml:space="preserve"> LLC, among emergency and disaster management professionals working in the U.S. From February to August 2025, we deployed the simulation in Meta Quest 3 headsets through two modalities: in-person demonstrations at an extreme weather summit (n=24) and direct-mail distribution to participants’ offices and residences (n=24). Following each experience, participants completed questionnaires on community-based and user outcomes. Participants reported high likelihoods of recommending the simulation for wildfire preparedness (M=3.4 on a 1-4 scale, SD=0.6). Participants also endorsed the simulation’s value as a community engagement tool (M=4.7 on a 1-5 scale, SD=0.5) and believed it could enhance wildfire risk perceptions (M=4.6, SD=0.8), evacuation order compliance (M=4.6, SD=0.7), and community preparedness (M=4.4, SD=0.7). Notably, 96% of participants expressed interest in VR simulations of other disasters. This study provides evidence of emergency and disaster management professionals’ adoption potential of </w:t>
      </w:r>
      <w:proofErr w:type="spellStart"/>
      <w:r w:rsidRPr="00D25599">
        <w:lastRenderedPageBreak/>
        <w:t>FireReady</w:t>
      </w:r>
      <w:proofErr w:type="spellEnd"/>
      <w:r w:rsidRPr="00D25599">
        <w:t xml:space="preserve"> </w:t>
      </w:r>
      <w:proofErr w:type="gramStart"/>
      <w:r w:rsidRPr="00D25599">
        <w:t>VR(</w:t>
      </w:r>
      <w:proofErr w:type="gramEnd"/>
      <w:r w:rsidRPr="00D25599">
        <w:t>tm) and other simulations of disasters across varying hazard types and geographic contexts.</w:t>
      </w:r>
    </w:p>
    <w:p w14:paraId="047BF956" w14:textId="77777777" w:rsidR="00D25599" w:rsidRPr="00D25599" w:rsidRDefault="00D25599" w:rsidP="00D25599">
      <w:pPr>
        <w:pStyle w:val="Paragraph"/>
      </w:pPr>
    </w:p>
    <w:p w14:paraId="1159953D" w14:textId="710CAB83" w:rsidR="00D25599" w:rsidRPr="00D25599" w:rsidRDefault="00D25599" w:rsidP="00D25599">
      <w:pPr>
        <w:pStyle w:val="Heading1"/>
      </w:pPr>
      <w:r w:rsidRPr="00D25599">
        <w:t xml:space="preserve">A Review of Evidence Synthesis </w:t>
      </w:r>
      <w:proofErr w:type="spellStart"/>
      <w:r w:rsidRPr="00D25599">
        <w:t>Metahodologies</w:t>
      </w:r>
      <w:proofErr w:type="spellEnd"/>
      <w:r w:rsidRPr="00D25599">
        <w:t xml:space="preserve"> at CU: Insights from a Librarian-Led Analysis</w:t>
      </w:r>
    </w:p>
    <w:p w14:paraId="3E9DF2CB" w14:textId="77777777" w:rsidR="00D25599" w:rsidRPr="00D25599" w:rsidRDefault="00D25599" w:rsidP="00D25599">
      <w:pPr>
        <w:pStyle w:val="AuthorNames"/>
      </w:pPr>
      <w:r w:rsidRPr="00D25599">
        <w:t>Sally Smith, Amanda McLeod, Karen Burton, Jennifer Groff, Jessica Kohout-Tailor, EdD</w:t>
      </w:r>
    </w:p>
    <w:p w14:paraId="3D8DD069" w14:textId="0E1CACA4" w:rsidR="00D25599" w:rsidRPr="00D25599" w:rsidRDefault="00D25599" w:rsidP="00D25599">
      <w:pPr>
        <w:pStyle w:val="DepartmentName"/>
      </w:pPr>
      <w:r w:rsidRPr="00D25599">
        <w:t xml:space="preserve">University Libraries </w:t>
      </w:r>
    </w:p>
    <w:p w14:paraId="144A0988" w14:textId="77ED1533" w:rsidR="00E5573E" w:rsidRPr="00D25599" w:rsidRDefault="00D25599" w:rsidP="00D25599">
      <w:pPr>
        <w:pStyle w:val="Paragraph"/>
      </w:pPr>
      <w:r w:rsidRPr="00D25599">
        <w:t>Clemson University Libraries supports the research needs of faculty, staff, and students across campus. Systematic reviews and other evidence synthesis (ES) projects are an increasingly popular research pursuit. These projects often engage librarians from multiple disciplines including the health sciences, engineering, and social sciences. To better understand the scope of ES work produced by Clemson researchers, an interdisciplinary team of librarians collaborated to identify and assess all published ES projects affiliated with the university. A comprehensive search of interdisciplinary and subject</w:t>
      </w:r>
      <w:r w:rsidRPr="00D25599">
        <w:noBreakHyphen/>
        <w:t>specific databases was conducted to capture relevant publications. The team utilized an established protocol developed by Auburn University librarians to guide the identification and selection of ES literature. Data were extracted from included articles regarding review type, methodological guidelines used, software utilized, disciplinary affiliation, and evidence of engagement with library services. This poster will share project findings, including the most common types of ES publications, the academic departments most frequently conducting these projects, and patterns of library involvement. The outcomes of this assessment will inform future directions for librarian support, training needs, and service development. Attendees will gain insight into how to evaluate the ES landscape at their own institutions and identify opportunities for deeper librarian engagement in evidence synthesis work.</w:t>
      </w:r>
    </w:p>
    <w:p w14:paraId="73615C0D" w14:textId="4B631EAF" w:rsidR="00D25599" w:rsidRPr="00D25599" w:rsidRDefault="00D25599" w:rsidP="00D25599">
      <w:pPr>
        <w:pStyle w:val="Heading1"/>
      </w:pPr>
      <w:r w:rsidRPr="00D25599">
        <w:t>Modernizing Manufacturing Assets to Enable Industry 4.0</w:t>
      </w:r>
    </w:p>
    <w:p w14:paraId="2198A9F6" w14:textId="77777777" w:rsidR="00D25599" w:rsidRPr="00D25599" w:rsidRDefault="00D25599" w:rsidP="00D25599">
      <w:pPr>
        <w:pStyle w:val="AuthorNames"/>
      </w:pPr>
      <w:r w:rsidRPr="00D25599">
        <w:t>Swarit Anand Singh &amp; Saeed Farahani</w:t>
      </w:r>
    </w:p>
    <w:p w14:paraId="22542EA8" w14:textId="349CEC01" w:rsidR="00D25599" w:rsidRPr="00D25599" w:rsidRDefault="00D25599" w:rsidP="00D25599">
      <w:pPr>
        <w:pStyle w:val="DepartmentName"/>
      </w:pPr>
      <w:r w:rsidRPr="00D25599">
        <w:t>Automotive Engineering</w:t>
      </w:r>
    </w:p>
    <w:p w14:paraId="1FA0471F" w14:textId="77777777" w:rsidR="00D25599" w:rsidRPr="00D25599" w:rsidRDefault="00D25599" w:rsidP="00D25599">
      <w:pPr>
        <w:pStyle w:val="Paragraph"/>
      </w:pPr>
      <w:r w:rsidRPr="00D25599">
        <w:t xml:space="preserve">Manufacturing modernization represents a transformative shift from traditional production systems to digitalized, interconnected, and intelligent operations. Driven by Industry 4.0 demands, modernization has become essential for organizations seeking to enhance competitiveness, flexibility, and sustainability in the global marketplace. This research establishes and validates a holistic technical framework designed to modernize legacy </w:t>
      </w:r>
      <w:r w:rsidRPr="00D25599">
        <w:lastRenderedPageBreak/>
        <w:t>manufacturing assets, processes, and workforce capabilities. The framework focuses on enabling the practical implementation of Industry 4.0 technologies within existing manufacturing facilities. Advances in digitalization and data-driven technologies, including the Internet of Things (IoT), cloud computing, big data analytics, and artificial intelligence, offer substantial potential to improve operational efficiency, decision-making, and system responsiveness. However, significant barriers continue to limit widespread adoption. A primary challenge for manufacturers is the dominance of legacy equipment that was not originally designed for connectivity or integration within cyber-physical systems. Depending on existing levels of instrumentation, automation, and communication capability, upgrading to Industry 4.0 standards often requires substantial capital investment. Beyond financial constraints, modernization demands engineering solutions to connect heterogeneous equipment, integrate diverse data structures into secure high-bandwidth network infrastructures, and develop a skilled workforce capable of generating value from digital technologies. This research work addresses these challenges by developing and testing a generalized, scalable framework that defines the technical requirements, system components, and enabling technologies necessary to upgrade legacy manufacturing systems to Industry 4.0 standards. The proposed framework is designed to be compatible with existing Industry 4.0 platforms and adaptable across a wide range of manufacturing equipment and processes.</w:t>
      </w:r>
    </w:p>
    <w:p w14:paraId="05BC3BE4" w14:textId="77777777" w:rsidR="00D25599" w:rsidRPr="00D25599" w:rsidRDefault="00D25599" w:rsidP="00D25599">
      <w:pPr>
        <w:pStyle w:val="Paragraph"/>
      </w:pPr>
    </w:p>
    <w:p w14:paraId="6B61528B" w14:textId="6E980645" w:rsidR="00D25599" w:rsidRPr="00D25599" w:rsidRDefault="00D25599" w:rsidP="00D25599">
      <w:pPr>
        <w:pStyle w:val="Heading1"/>
      </w:pPr>
      <w:r w:rsidRPr="00D25599">
        <w:t>What are farmers’ perspectives on adopting non-conventional water for irrigation in the Southeastern U.S?</w:t>
      </w:r>
    </w:p>
    <w:p w14:paraId="44AEDA4E" w14:textId="77777777" w:rsidR="00D25599" w:rsidRPr="00D25599" w:rsidRDefault="00D25599" w:rsidP="00D25599">
      <w:pPr>
        <w:pStyle w:val="AuthorNames"/>
      </w:pPr>
      <w:r w:rsidRPr="00D25599">
        <w:t>Victoria Williamson</w:t>
      </w:r>
    </w:p>
    <w:p w14:paraId="2DE29A86" w14:textId="0EA0491C" w:rsidR="00D25599" w:rsidRPr="00D25599" w:rsidRDefault="00D25599" w:rsidP="00D25599">
      <w:pPr>
        <w:pStyle w:val="DepartmentName"/>
      </w:pPr>
      <w:r w:rsidRPr="00D25599">
        <w:t>Agriculture &amp; Applied Economics</w:t>
      </w:r>
    </w:p>
    <w:p w14:paraId="006FAD64" w14:textId="77777777" w:rsidR="00D25599" w:rsidRPr="00D25599" w:rsidRDefault="00D25599" w:rsidP="00D25599">
      <w:pPr>
        <w:pStyle w:val="Paragraph"/>
      </w:pPr>
    </w:p>
    <w:p w14:paraId="0A778AB3" w14:textId="5D533252" w:rsidR="00D25599" w:rsidRDefault="00D25599" w:rsidP="00D25599">
      <w:pPr>
        <w:pStyle w:val="Paragraph"/>
      </w:pPr>
      <w:r w:rsidRPr="00D25599">
        <w:t xml:space="preserve">Salinity in water is an increasing challenge for agricultural production in the United States, including farming in the Southeast, resulting in freshwater becoming increasingly scarce. Therefore, it is essential to explore how non-conventional water resources can be effectively adopted and utilized. This research examines brackish water, urban stormwater, and reclaimed municipal water as potential non-conventional water resources and investigates farmers’ perceptions of using these water resources in their production. The survey will use a best-worst case scaling method to help us understand what farmers prioritize when considering whether they should adopt non-conventional water resources or not. These attributes include costs, environmental impacts, and crop quality (both aesthetic and taste) that could be slightly compromised by using non-conventional water. Based on the best-worst scaling survey results, a discrete choice experiment attribute will </w:t>
      </w:r>
      <w:r w:rsidRPr="00D25599">
        <w:lastRenderedPageBreak/>
        <w:t xml:space="preserve">be developed to estimate farmers’ valuations on key attributes related to non-conventional use in the Southeastern U.S. farming systems. The results will provide insight into how to design policies that promote non-conventional water use among farmers by capturing their heterogeneous valuations of these new farming practices. </w:t>
      </w:r>
    </w:p>
    <w:p w14:paraId="32F93A04" w14:textId="77777777" w:rsidR="00E5573E" w:rsidRPr="00D25599" w:rsidRDefault="00E5573E" w:rsidP="00D25599">
      <w:pPr>
        <w:pStyle w:val="Paragraph"/>
      </w:pPr>
    </w:p>
    <w:p w14:paraId="44317924" w14:textId="59386FDD" w:rsidR="00D25599" w:rsidRPr="00D25599" w:rsidRDefault="00D25599" w:rsidP="00D25599">
      <w:pPr>
        <w:pStyle w:val="Heading1"/>
      </w:pPr>
      <w:r w:rsidRPr="00D25599">
        <w:t>Industry 4.0 driven open-source life cycle assessment</w:t>
      </w:r>
    </w:p>
    <w:p w14:paraId="7474B434" w14:textId="77777777" w:rsidR="00D25599" w:rsidRPr="00D25599" w:rsidRDefault="00D25599" w:rsidP="008C5814">
      <w:pPr>
        <w:pStyle w:val="AuthorNames"/>
      </w:pPr>
      <w:r w:rsidRPr="00D25599">
        <w:t>Vitasta Jain &amp; Mark A. Johnson</w:t>
      </w:r>
    </w:p>
    <w:p w14:paraId="7DBC8F93" w14:textId="65284BF2" w:rsidR="00D25599" w:rsidRPr="00D25599" w:rsidRDefault="00D25599" w:rsidP="008C5814">
      <w:pPr>
        <w:pStyle w:val="DepartmentName"/>
      </w:pPr>
      <w:r w:rsidRPr="00D25599">
        <w:t>Materials Science &amp; Engineering</w:t>
      </w:r>
    </w:p>
    <w:p w14:paraId="1B0C2E61" w14:textId="77777777" w:rsidR="00D25599" w:rsidRPr="00D25599" w:rsidRDefault="00D25599" w:rsidP="00D25599">
      <w:pPr>
        <w:pStyle w:val="Paragraph"/>
      </w:pPr>
      <w:r w:rsidRPr="00D25599">
        <w:t>Fully open-source, interoperable, Industry 4.0-based LCA frameworks that integrate real-time manufacturing data remain a developing research area. Conventional Life Cycle Assessment (LCA) relies on static datasets and labor-intensive modeling. The data quality is often low as it is dependent on available datasets that may contain data that is outdated, from unrelated fields or using incompatible technology. This research proposes an Industry 4.0–driven, open-source LCA framework to enable dynamic and interoperable sustainability assessment across the product life cycle. The framework leverages Industry 4.0 technologies such as internet of things (IoT), sensors, digital twins, cloud connectivity, and standardized data exchange to automate data collection from manufacturing processes and supply chains. This data is then integrated with open-source LCA platforms and databases to generate continuously updated environmental impact metrics such as energy use, carbon footprint, and material flows.</w:t>
      </w:r>
    </w:p>
    <w:p w14:paraId="3D5BF0D7" w14:textId="77777777" w:rsidR="00D25599" w:rsidRPr="00D25599" w:rsidRDefault="00D25599" w:rsidP="00D25599">
      <w:pPr>
        <w:pStyle w:val="Paragraph"/>
      </w:pPr>
      <w:r w:rsidRPr="00D25599">
        <w:t xml:space="preserve">By prioritizing open standards and open-source tools, the approach reduces dependency on proprietary software while promoting transparency and reproducibility. The system architecture emphasizes interoperability, data security, and federated data sharing to address challenges associated with cross-organizational data exchange and regulatory compliance. AI/ML integration can further support design-for-sustainability decisions using what-if analysis. A conceptual case-study demonstrates how real-time process data can be used for LCA modelling. </w:t>
      </w:r>
    </w:p>
    <w:p w14:paraId="0B334B64" w14:textId="77777777" w:rsidR="00D25599" w:rsidRPr="00D25599" w:rsidRDefault="00D25599" w:rsidP="00D25599">
      <w:pPr>
        <w:pStyle w:val="Paragraph"/>
      </w:pPr>
      <w:r w:rsidRPr="00D25599">
        <w:t>Overall, this work outlines a scalable pathway toward dynamic, data-driven sustainability assessment, utilizing open-source Industry 4.0 infrastructures as an enabler for next-generation life cycle assessment.</w:t>
      </w:r>
    </w:p>
    <w:p w14:paraId="492DC1FD" w14:textId="77777777" w:rsidR="00D25599" w:rsidRPr="00D25599" w:rsidRDefault="00D25599" w:rsidP="00D25599">
      <w:pPr>
        <w:pStyle w:val="Paragraph"/>
      </w:pPr>
    </w:p>
    <w:p w14:paraId="39ACDA53" w14:textId="77777777" w:rsidR="00D25599" w:rsidRPr="00D25599" w:rsidRDefault="00D25599" w:rsidP="00D25599">
      <w:pPr>
        <w:pStyle w:val="Paragraph"/>
      </w:pPr>
    </w:p>
    <w:p w14:paraId="3DF6070F" w14:textId="70D41C12" w:rsidR="00D25599" w:rsidRPr="00D25599" w:rsidRDefault="00D25599" w:rsidP="008C5814">
      <w:pPr>
        <w:pStyle w:val="Heading1"/>
      </w:pPr>
      <w:r w:rsidRPr="00D25599">
        <w:lastRenderedPageBreak/>
        <w:t>Social and Emotional Learning in Carceral Settings: Conceptualizing a Framework</w:t>
      </w:r>
    </w:p>
    <w:p w14:paraId="310AEFED" w14:textId="77777777" w:rsidR="00D25599" w:rsidRPr="00D25599" w:rsidRDefault="00D25599" w:rsidP="008C5814">
      <w:pPr>
        <w:pStyle w:val="AuthorNames"/>
      </w:pPr>
      <w:proofErr w:type="spellStart"/>
      <w:r w:rsidRPr="00D25599">
        <w:t>Nasaskyia</w:t>
      </w:r>
      <w:proofErr w:type="spellEnd"/>
      <w:r w:rsidRPr="00D25599">
        <w:t xml:space="preserve"> Hicks </w:t>
      </w:r>
    </w:p>
    <w:p w14:paraId="15E9102B" w14:textId="1445CF4F" w:rsidR="00D25599" w:rsidRPr="00D25599" w:rsidRDefault="00D25599" w:rsidP="008C5814">
      <w:pPr>
        <w:pStyle w:val="DepartmentName"/>
      </w:pPr>
      <w:r w:rsidRPr="00D25599">
        <w:t>Department of Sociology, Anthropology and Criminal Justice</w:t>
      </w:r>
    </w:p>
    <w:p w14:paraId="7DDA02B7" w14:textId="00311336" w:rsidR="00D25599" w:rsidRPr="00D25599" w:rsidRDefault="00D25599" w:rsidP="00D25599">
      <w:pPr>
        <w:pStyle w:val="Paragraph"/>
      </w:pPr>
      <w:r w:rsidRPr="00D25599">
        <w:t>Drawing on established social and emotional learning (SEL) research in educational contexts, the juvenile justice-social and emotional learning (JJS-SEL) framework applies core SEL competencies to youth in carceral settings. This conceptual framework consists of three interrelated components that justice practitioners can leverage to support justice-involved youth: integration, engagement, and development. Integration incorporates SEL competencies into community supervision practices, while engagement fosters a supportive environment, and development promotes healthy emotional expression and responsible decision-making. By reinforcing SEL competencies in carceral settings, justice-involved youth can improve their social and emotional well-being and increase their chances of long-term rehabilitation.</w:t>
      </w:r>
    </w:p>
    <w:p w14:paraId="38FCEAE9" w14:textId="52EFF686" w:rsidR="00D25599" w:rsidRPr="00D25599" w:rsidRDefault="00D25599" w:rsidP="008C5814">
      <w:pPr>
        <w:pStyle w:val="Heading1"/>
      </w:pPr>
      <w:r w:rsidRPr="00D25599">
        <w:t xml:space="preserve">Detecting Behavioral Patterns in Heatmaps of Eye tracking Data for Older Adults </w:t>
      </w:r>
      <w:proofErr w:type="gramStart"/>
      <w:r w:rsidRPr="00D25599">
        <w:t>With</w:t>
      </w:r>
      <w:proofErr w:type="gramEnd"/>
      <w:r w:rsidRPr="00D25599">
        <w:t xml:space="preserve"> and Without Cognitive Impairment</w:t>
      </w:r>
    </w:p>
    <w:p w14:paraId="08356509" w14:textId="77777777" w:rsidR="00D25599" w:rsidRPr="00D25599" w:rsidRDefault="00D25599" w:rsidP="008C5814">
      <w:pPr>
        <w:pStyle w:val="AuthorNames"/>
      </w:pPr>
      <w:proofErr w:type="spellStart"/>
      <w:r w:rsidRPr="00D25599">
        <w:t>Durwa</w:t>
      </w:r>
      <w:proofErr w:type="spellEnd"/>
      <w:r w:rsidRPr="00D25599">
        <w:t xml:space="preserve"> Chavan, Margi Engineer, &amp; Emma Dixon</w:t>
      </w:r>
    </w:p>
    <w:p w14:paraId="5821BEA0" w14:textId="75BAA32E" w:rsidR="00D25599" w:rsidRPr="00D25599" w:rsidRDefault="00D25599" w:rsidP="00E5573E">
      <w:pPr>
        <w:pStyle w:val="DepartmentName"/>
      </w:pPr>
      <w:r w:rsidRPr="00D25599">
        <w:t>School of Computing</w:t>
      </w:r>
    </w:p>
    <w:p w14:paraId="2DE199F3" w14:textId="77777777" w:rsidR="00D25599" w:rsidRPr="00D25599" w:rsidRDefault="00D25599" w:rsidP="00D25599">
      <w:pPr>
        <w:pStyle w:val="Paragraph"/>
      </w:pPr>
      <w:r w:rsidRPr="00D25599">
        <w:t>Older adults and people with lived experience of dementia often turn to the internet for text-based dementia information, yet it is unclear how different users visually engage with different kinds of online dementia content. This study compared visual engagement across two participant groups and levels of alternative-medicine belief while participants viewed four stimulus types: a commercial assessment page (</w:t>
      </w:r>
      <w:proofErr w:type="spellStart"/>
      <w:r w:rsidRPr="00D25599">
        <w:t>Axona</w:t>
      </w:r>
      <w:proofErr w:type="spellEnd"/>
      <w:r w:rsidRPr="00D25599">
        <w:t>), a medical/research-style article (Med), an Alzheimer’s Association informational page (</w:t>
      </w:r>
      <w:proofErr w:type="spellStart"/>
      <w:r w:rsidRPr="00D25599">
        <w:t>Alz</w:t>
      </w:r>
      <w:proofErr w:type="spellEnd"/>
      <w:r w:rsidRPr="00D25599">
        <w:t>), and a blog-style informational page (Blog). Webcam-based eye tracking was used to code primary viewing patterns and an overall engagement indicator. Group- and belief-related differences were tested using exact methods with correction for multiple comparisons, and within-person differences across stimulus types were tested using paired methods. Visual engagement did not differ clearly by participant group or alternative-medicine belief, but it varied mainly by stimulus type, with the commercial assessment page showing the lowest engagement and the Alzheimer’s Association and blog-style pages showing higher engagement.</w:t>
      </w:r>
    </w:p>
    <w:p w14:paraId="4ED09192" w14:textId="77777777" w:rsidR="00D25599" w:rsidRPr="00D25599" w:rsidRDefault="00D25599" w:rsidP="00D25599">
      <w:pPr>
        <w:pStyle w:val="Paragraph"/>
      </w:pPr>
    </w:p>
    <w:p w14:paraId="2199420C" w14:textId="77777777" w:rsidR="00D25599" w:rsidRPr="00D25599" w:rsidRDefault="00D25599" w:rsidP="00D25599">
      <w:pPr>
        <w:pStyle w:val="Paragraph"/>
      </w:pPr>
    </w:p>
    <w:p w14:paraId="5C794B7B" w14:textId="77777777" w:rsidR="00D25599" w:rsidRPr="00D25599" w:rsidRDefault="00D25599" w:rsidP="00D25599">
      <w:pPr>
        <w:pStyle w:val="Paragraph"/>
      </w:pPr>
    </w:p>
    <w:p w14:paraId="3833210F" w14:textId="3BB26B8B" w:rsidR="00D25599" w:rsidRPr="00D25599" w:rsidRDefault="00D25599" w:rsidP="00E5573E">
      <w:pPr>
        <w:pStyle w:val="Heading1"/>
      </w:pPr>
      <w:r w:rsidRPr="00D25599">
        <w:t xml:space="preserve">Decentralized robotic control for factory automation </w:t>
      </w:r>
    </w:p>
    <w:p w14:paraId="05FAF27D" w14:textId="3BFFDF38" w:rsidR="00D25599" w:rsidRPr="00D25599" w:rsidRDefault="00D25599" w:rsidP="00E5573E">
      <w:pPr>
        <w:pStyle w:val="AuthorNames"/>
      </w:pPr>
      <w:r w:rsidRPr="00D25599">
        <w:t>Cameron Morrison and Hassan Raza</w:t>
      </w:r>
    </w:p>
    <w:p w14:paraId="011CAEF7" w14:textId="46D48E9C" w:rsidR="00D25599" w:rsidRPr="00D25599" w:rsidRDefault="00D25599" w:rsidP="00E5573E">
      <w:pPr>
        <w:pStyle w:val="DepartmentName"/>
      </w:pPr>
      <w:r w:rsidRPr="00D25599">
        <w:t>Holcombe Department of Electrical and Computer Engineering</w:t>
      </w:r>
    </w:p>
    <w:p w14:paraId="1F429B4B" w14:textId="14130E22" w:rsidR="00D25599" w:rsidRPr="00D25599" w:rsidRDefault="00D25599" w:rsidP="00D25599">
      <w:pPr>
        <w:pStyle w:val="Paragraph"/>
      </w:pPr>
      <w:r w:rsidRPr="00D25599">
        <w:t xml:space="preserve">A digital twin is a virtual representation of a physical system that uses real-time data collection to simulate and monitor the system operation, enabling the detection of any discrepancies between the physical system response and the simulation results. This real-time monitoring can be used to optimize system control and to enhance security by detecting any undesired outside stimuli to the physical control system. This research focuses on implementing a digital twin to monitor and control multiple Cobot arms to perform an industry specific task for factory automation within a decentralized environment via synchronized communication to ensure reliable and safe operation. </w:t>
      </w:r>
    </w:p>
    <w:p w14:paraId="5FBF10A6" w14:textId="74F6AE89" w:rsidR="00D25599" w:rsidRPr="00D25599" w:rsidRDefault="00D25599" w:rsidP="00E5573E">
      <w:pPr>
        <w:pStyle w:val="Heading1"/>
      </w:pPr>
      <w:r w:rsidRPr="00D25599">
        <w:t xml:space="preserve">Advancing Arterial </w:t>
      </w:r>
      <w:proofErr w:type="spellStart"/>
      <w:r w:rsidRPr="00D25599">
        <w:t>Atheroprotective</w:t>
      </w:r>
      <w:proofErr w:type="spellEnd"/>
      <w:r w:rsidRPr="00D25599">
        <w:t xml:space="preserve"> </w:t>
      </w:r>
      <w:proofErr w:type="spellStart"/>
      <w:r w:rsidRPr="00D25599">
        <w:t>Nanotherapies</w:t>
      </w:r>
      <w:proofErr w:type="spellEnd"/>
    </w:p>
    <w:p w14:paraId="20006F9A" w14:textId="305FD14F" w:rsidR="00D25599" w:rsidRPr="00D25599" w:rsidRDefault="00D25599" w:rsidP="00E5573E">
      <w:pPr>
        <w:pStyle w:val="AuthorNames"/>
      </w:pPr>
      <w:r w:rsidRPr="00D25599">
        <w:t xml:space="preserve">Alexis </w:t>
      </w:r>
      <w:proofErr w:type="spellStart"/>
      <w:r w:rsidRPr="00D25599">
        <w:t>Stamatikos</w:t>
      </w:r>
      <w:proofErr w:type="spellEnd"/>
    </w:p>
    <w:p w14:paraId="75A216F9" w14:textId="786F3598" w:rsidR="00D25599" w:rsidRPr="00D25599" w:rsidRDefault="00D25599" w:rsidP="00E5573E">
      <w:pPr>
        <w:pStyle w:val="DepartmentName"/>
      </w:pPr>
      <w:r w:rsidRPr="00D25599">
        <w:t>Food, Nutrition, and Packaging Sciences</w:t>
      </w:r>
    </w:p>
    <w:p w14:paraId="1C5EAADA" w14:textId="3A11D7CA" w:rsidR="00D25599" w:rsidRPr="00D25599" w:rsidRDefault="00D25599" w:rsidP="00D25599">
      <w:pPr>
        <w:pStyle w:val="Paragraph"/>
      </w:pPr>
      <w:r w:rsidRPr="00D25599">
        <w:t xml:space="preserve">My poster presentation will highlight my research program involving </w:t>
      </w:r>
      <w:proofErr w:type="spellStart"/>
      <w:r w:rsidRPr="00D25599">
        <w:t>atheroprotective</w:t>
      </w:r>
      <w:proofErr w:type="spellEnd"/>
      <w:r w:rsidRPr="00D25599">
        <w:t xml:space="preserve"> </w:t>
      </w:r>
      <w:proofErr w:type="spellStart"/>
      <w:r w:rsidRPr="00D25599">
        <w:t>nanotherapies</w:t>
      </w:r>
      <w:proofErr w:type="spellEnd"/>
      <w:r w:rsidRPr="00D25599">
        <w:t xml:space="preserve"> while I have been a faculty member at Clemson University. This work began when I was a postdoctoral fellow at University of Washington School of Medicine approximately 10-years ago and has been funded through AHA, NIH, and USDA sources. My work focuses on attempting to utilize nanoparticle-based therapies to aid in treating/preventing atherosclerotic cardiovascular disease via removing excess cholesterol accumulation throughout the entire arterial wall.</w:t>
      </w:r>
    </w:p>
    <w:p w14:paraId="5C41F6E8" w14:textId="77777777" w:rsidR="00D25599" w:rsidRPr="00D25599" w:rsidRDefault="00D25599" w:rsidP="00E5573E">
      <w:pPr>
        <w:pStyle w:val="Heading1"/>
      </w:pPr>
      <w:r w:rsidRPr="00D25599">
        <w:t>Collaborating on Cemetery Preservation: Creative Inquiry in Community</w:t>
      </w:r>
    </w:p>
    <w:p w14:paraId="396D957F" w14:textId="4691A366" w:rsidR="00D25599" w:rsidRPr="00D25599" w:rsidRDefault="00D25599" w:rsidP="00E5573E">
      <w:pPr>
        <w:pStyle w:val="AuthorNames"/>
      </w:pPr>
      <w:r w:rsidRPr="00D25599">
        <w:t>Spencer White, Jared Gingrich</w:t>
      </w:r>
    </w:p>
    <w:p w14:paraId="511CAAAA" w14:textId="207615DC" w:rsidR="00D25599" w:rsidRPr="00D25599" w:rsidRDefault="00D25599" w:rsidP="00E5573E">
      <w:pPr>
        <w:pStyle w:val="DepartmentName"/>
      </w:pPr>
      <w:r w:rsidRPr="00D25599">
        <w:t>Interdisciplinary Studies</w:t>
      </w:r>
    </w:p>
    <w:p w14:paraId="01A56D35" w14:textId="2E52B0CF" w:rsidR="00D25599" w:rsidRPr="00D25599" w:rsidRDefault="00D25599" w:rsidP="00D25599">
      <w:pPr>
        <w:pStyle w:val="Paragraph"/>
      </w:pPr>
      <w:r w:rsidRPr="00D25599">
        <w:t xml:space="preserve">Since Spring 2025, the Cemetery Preservation Creative Inquiry team has partnered with St. Paul's Episcopal Church in Pendleton, South Carolina, to use the historic cemetery as an experimental space for testing preservation and restoration methods for headstones and monuments. This partnership is particularly fitting because the cemetery is the final resting place of Thomas Green Clemson and his family, who attended St. Paul's during their lifetimes. Our collaboration provides real-world experience in cemetery restoration, supports a Clemson-affiliated organization, and allows us to explore research topics related </w:t>
      </w:r>
      <w:r w:rsidRPr="00D25599">
        <w:lastRenderedPageBreak/>
        <w:t xml:space="preserve">to historic preservation. Topics being studied </w:t>
      </w:r>
      <w:proofErr w:type="gramStart"/>
      <w:r w:rsidRPr="00D25599">
        <w:t>include:</w:t>
      </w:r>
      <w:proofErr w:type="gramEnd"/>
      <w:r w:rsidRPr="00D25599">
        <w:t xml:space="preserve"> quantitative assessment of coverage for D/2 Biological Solution (used to restore headstones); methods for monument repair and resetting; </w:t>
      </w:r>
      <w:proofErr w:type="gramStart"/>
      <w:r w:rsidRPr="00D25599">
        <w:t>and,</w:t>
      </w:r>
      <w:proofErr w:type="gramEnd"/>
      <w:r w:rsidRPr="00D25599">
        <w:t xml:space="preserve"> use of GIS surveying equipment to document cemetery features. Field work at the cemetery and in our </w:t>
      </w:r>
      <w:proofErr w:type="gramStart"/>
      <w:r w:rsidRPr="00D25599">
        <w:t>preservation</w:t>
      </w:r>
      <w:proofErr w:type="gramEnd"/>
      <w:r w:rsidRPr="00D25599">
        <w:t xml:space="preserve"> lab produced results and documentation of </w:t>
      </w:r>
      <w:proofErr w:type="gramStart"/>
      <w:r w:rsidRPr="00D25599">
        <w:t>all of</w:t>
      </w:r>
      <w:proofErr w:type="gramEnd"/>
      <w:r w:rsidRPr="00D25599">
        <w:t xml:space="preserve"> these processes, which are shared via the cemetery website being produced by the team in collaboration with the congregation. The findings and methods documented by our team have also been incorporated into the Southeastern Cemetery Consortium, which provides resources and guides for cemetery restoration projects. Our work will reach a wide audience through this platform and inform cemetery restoration efforts across the southeastern United States and beyond. This interactive exhibit requires a digital screen with user interface controls (touchscreen or mouse and keyboard). Participants will be able to explore the project website, which includes records for </w:t>
      </w:r>
      <w:proofErr w:type="gramStart"/>
      <w:r w:rsidRPr="00D25599">
        <w:t>all of</w:t>
      </w:r>
      <w:proofErr w:type="gramEnd"/>
      <w:r w:rsidRPr="00D25599">
        <w:t xml:space="preserve"> the burials at St. Paul's, dynamic visualizations of family networks, and media documenting the restoration work.</w:t>
      </w:r>
    </w:p>
    <w:p w14:paraId="42AF3159" w14:textId="47193D55" w:rsidR="00D25599" w:rsidRPr="00D25599" w:rsidRDefault="00D25599" w:rsidP="00E5573E">
      <w:pPr>
        <w:pStyle w:val="Heading1"/>
      </w:pPr>
      <w:r w:rsidRPr="00D25599">
        <w:t>Interactive</w:t>
      </w:r>
      <w:r w:rsidR="00E5573E">
        <w:t xml:space="preserve"> </w:t>
      </w:r>
      <w:r w:rsidRPr="00D25599">
        <w:t>Exhibit - For Students, By Students: Co-Designing a Place-Based Outdoor Learning Pathway</w:t>
      </w:r>
    </w:p>
    <w:p w14:paraId="76D7CC31" w14:textId="481AED11" w:rsidR="00D25599" w:rsidRPr="00D25599" w:rsidRDefault="00D25599" w:rsidP="00E5573E">
      <w:pPr>
        <w:pStyle w:val="AuthorNames"/>
      </w:pPr>
      <w:r w:rsidRPr="00D25599">
        <w:t>Steph Dean, Koti Hubbard</w:t>
      </w:r>
    </w:p>
    <w:p w14:paraId="3D4F4AD3" w14:textId="4D9F8CA2" w:rsidR="00D25599" w:rsidRPr="00D25599" w:rsidRDefault="00D25599" w:rsidP="00E5573E">
      <w:pPr>
        <w:pStyle w:val="DepartmentName"/>
      </w:pPr>
      <w:r w:rsidRPr="00D25599">
        <w:t>Teaching and Learning</w:t>
      </w:r>
    </w:p>
    <w:p w14:paraId="7E823A14" w14:textId="77777777" w:rsidR="00D25599" w:rsidRPr="00D25599" w:rsidRDefault="00D25599" w:rsidP="00D25599">
      <w:pPr>
        <w:pStyle w:val="Paragraph"/>
      </w:pPr>
      <w:r w:rsidRPr="00D25599">
        <w:t>How do we design undergraduate learning experiences that are rigorous, relevant, and forward-thinking? In 2024, faculty in Clemson’s College of Education launched an ambitious experiment: inviting undergraduate preservice teachers to help design a new place-based outdoor learning specialty area. Rather than developing the pathway through a top-down approach, students participated in a Creative Inquiry course where they experienced place-based learning and then contributed directly to course development. Students collaboratively selected texts, shaped assignments, refined learning objectives, and helped articulate the conceptual framework.</w:t>
      </w:r>
    </w:p>
    <w:p w14:paraId="64FB19B5" w14:textId="77777777" w:rsidR="00D25599" w:rsidRPr="00D25599" w:rsidRDefault="00D25599" w:rsidP="00D25599">
      <w:pPr>
        <w:pStyle w:val="Paragraph"/>
      </w:pPr>
      <w:r w:rsidRPr="00D25599">
        <w:t xml:space="preserve">This session shares the story of that process, from early brainstorming to cross-college collaboration (including partnerships with the School District of Pickens County and conversations with PRTM). The story also includes the development of a comparable master’s-level bundle and the launch of the first course this past fall. </w:t>
      </w:r>
    </w:p>
    <w:p w14:paraId="5C580795" w14:textId="3555C141" w:rsidR="00D25599" w:rsidRPr="00D25599" w:rsidRDefault="00D25599" w:rsidP="00D25599">
      <w:pPr>
        <w:pStyle w:val="Paragraph"/>
      </w:pPr>
      <w:r w:rsidRPr="00D25599">
        <w:t>This initiative also became a research study. Journal data were collected from both the undergraduate students who helped design the course bundle during the Creative Inquiry and the first cohort who later enrolled in the newly developed courses. We will briefly describe how those findings informed course revisions and future planning, and how insights from both groups strengthened the overall course design.</w:t>
      </w:r>
    </w:p>
    <w:p w14:paraId="22E5813D" w14:textId="77777777" w:rsidR="00D25599" w:rsidRPr="00D25599" w:rsidRDefault="00D25599" w:rsidP="00D25599">
      <w:pPr>
        <w:pStyle w:val="Paragraph"/>
      </w:pPr>
    </w:p>
    <w:sectPr w:rsidR="00D25599" w:rsidRPr="00D2559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D6C2" w14:textId="77777777" w:rsidR="003062A7" w:rsidRDefault="003062A7" w:rsidP="00981F8A">
      <w:pPr>
        <w:spacing w:after="0" w:line="240" w:lineRule="auto"/>
      </w:pPr>
      <w:r>
        <w:separator/>
      </w:r>
    </w:p>
  </w:endnote>
  <w:endnote w:type="continuationSeparator" w:id="0">
    <w:p w14:paraId="69778268" w14:textId="77777777" w:rsidR="003062A7" w:rsidRDefault="003062A7" w:rsidP="0098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rade Gothic Next LT Pro Cn">
    <w:panose1 w:val="020B0506040303020004"/>
    <w:charset w:val="4D"/>
    <w:family w:val="swiss"/>
    <w:notTrueType/>
    <w:pitch w:val="variable"/>
    <w:sig w:usb0="A000002F" w:usb1="5000205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Trade Gothic Next LT Pro Lt">
    <w:panose1 w:val="020B0803040303020004"/>
    <w:charset w:val="4D"/>
    <w:family w:val="swiss"/>
    <w:notTrueType/>
    <w:pitch w:val="variable"/>
    <w:sig w:usb0="A000002F" w:usb1="5000205B" w:usb2="00000000" w:usb3="00000000" w:csb0="0000009B" w:csb1="00000000"/>
  </w:font>
  <w:font w:name="Trade Gothic Next LT Pro">
    <w:altName w:val="Trade Gothic Next LT Pro"/>
    <w:panose1 w:val="020B0503040303020004"/>
    <w:charset w:val="4D"/>
    <w:family w:val="swiss"/>
    <w:notTrueType/>
    <w:pitch w:val="variable"/>
    <w:sig w:usb0="A000002F" w:usb1="5000205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305228"/>
      <w:docPartObj>
        <w:docPartGallery w:val="Page Numbers (Bottom of Page)"/>
        <w:docPartUnique/>
      </w:docPartObj>
    </w:sdtPr>
    <w:sdtContent>
      <w:p w14:paraId="51E1C79B" w14:textId="440E5538" w:rsidR="00E5573E" w:rsidRDefault="00E5573E" w:rsidP="00A774F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268A0E" w14:textId="77777777" w:rsidR="00E5573E" w:rsidRDefault="00E5573E" w:rsidP="00E5573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rade Gothic Next LT Pro Cn" w:hAnsi="Trade Gothic Next LT Pro Cn"/>
        <w:sz w:val="21"/>
        <w:szCs w:val="21"/>
      </w:rPr>
      <w:id w:val="1074860530"/>
      <w:docPartObj>
        <w:docPartGallery w:val="Page Numbers (Bottom of Page)"/>
        <w:docPartUnique/>
      </w:docPartObj>
    </w:sdtPr>
    <w:sdtContent>
      <w:p w14:paraId="5F2D5EA7" w14:textId="60734C08" w:rsidR="00E5573E" w:rsidRPr="00E5573E" w:rsidRDefault="00E5573E" w:rsidP="00A774FE">
        <w:pPr>
          <w:pStyle w:val="Footer"/>
          <w:framePr w:wrap="none" w:vAnchor="text" w:hAnchor="margin" w:y="1"/>
          <w:rPr>
            <w:rStyle w:val="PageNumber"/>
            <w:rFonts w:ascii="Trade Gothic Next LT Pro Cn" w:hAnsi="Trade Gothic Next LT Pro Cn"/>
            <w:sz w:val="21"/>
            <w:szCs w:val="21"/>
          </w:rPr>
        </w:pPr>
        <w:r w:rsidRPr="00E5573E">
          <w:rPr>
            <w:rStyle w:val="PageNumber"/>
            <w:rFonts w:ascii="Trade Gothic Next LT Pro Cn" w:hAnsi="Trade Gothic Next LT Pro Cn"/>
            <w:sz w:val="21"/>
            <w:szCs w:val="21"/>
          </w:rPr>
          <w:fldChar w:fldCharType="begin"/>
        </w:r>
        <w:r w:rsidRPr="00E5573E">
          <w:rPr>
            <w:rStyle w:val="PageNumber"/>
            <w:rFonts w:ascii="Trade Gothic Next LT Pro Cn" w:hAnsi="Trade Gothic Next LT Pro Cn"/>
            <w:sz w:val="21"/>
            <w:szCs w:val="21"/>
          </w:rPr>
          <w:instrText xml:space="preserve"> PAGE </w:instrText>
        </w:r>
        <w:r w:rsidRPr="00E5573E">
          <w:rPr>
            <w:rStyle w:val="PageNumber"/>
            <w:rFonts w:ascii="Trade Gothic Next LT Pro Cn" w:hAnsi="Trade Gothic Next LT Pro Cn"/>
            <w:sz w:val="21"/>
            <w:szCs w:val="21"/>
          </w:rPr>
          <w:fldChar w:fldCharType="separate"/>
        </w:r>
        <w:r w:rsidRPr="00E5573E">
          <w:rPr>
            <w:rStyle w:val="PageNumber"/>
            <w:rFonts w:ascii="Trade Gothic Next LT Pro Cn" w:hAnsi="Trade Gothic Next LT Pro Cn"/>
            <w:noProof/>
            <w:sz w:val="21"/>
            <w:szCs w:val="21"/>
          </w:rPr>
          <w:t>10</w:t>
        </w:r>
        <w:r w:rsidRPr="00E5573E">
          <w:rPr>
            <w:rStyle w:val="PageNumber"/>
            <w:rFonts w:ascii="Trade Gothic Next LT Pro Cn" w:hAnsi="Trade Gothic Next LT Pro Cn"/>
            <w:sz w:val="21"/>
            <w:szCs w:val="21"/>
          </w:rPr>
          <w:fldChar w:fldCharType="end"/>
        </w:r>
      </w:p>
    </w:sdtContent>
  </w:sdt>
  <w:p w14:paraId="66953AE0" w14:textId="3ECEA509" w:rsidR="00981F8A" w:rsidRPr="00981F8A" w:rsidRDefault="00981F8A" w:rsidP="00E5573E">
    <w:pPr>
      <w:pStyle w:val="Footer"/>
      <w:ind w:firstLine="360"/>
      <w:rPr>
        <w:rFonts w:ascii="Trade Gothic Next LT Pro Cn" w:hAnsi="Trade Gothic Next LT Pro Cn"/>
        <w:color w:val="3A3A3A" w:themeColor="background2" w:themeShade="40"/>
        <w:sz w:val="21"/>
        <w:szCs w:val="21"/>
      </w:rPr>
    </w:pPr>
    <w:r>
      <w:rPr>
        <w:rFonts w:ascii="Trade Gothic Next LT Pro Cn" w:hAnsi="Trade Gothic Next LT Pro Cn"/>
        <w:noProof/>
        <w:color w:val="E8E8E8" w:themeColor="background2"/>
        <w:sz w:val="21"/>
        <w:szCs w:val="21"/>
      </w:rPr>
      <mc:AlternateContent>
        <mc:Choice Requires="wps">
          <w:drawing>
            <wp:anchor distT="0" distB="0" distL="114300" distR="114300" simplePos="0" relativeHeight="251659264" behindDoc="0" locked="0" layoutInCell="1" allowOverlap="1" wp14:anchorId="74F32016" wp14:editId="20A50E8D">
              <wp:simplePos x="0" y="0"/>
              <wp:positionH relativeFrom="column">
                <wp:posOffset>-7952</wp:posOffset>
              </wp:positionH>
              <wp:positionV relativeFrom="paragraph">
                <wp:posOffset>-100634</wp:posOffset>
              </wp:positionV>
              <wp:extent cx="5955527" cy="0"/>
              <wp:effectExtent l="0" t="12700" r="13970" b="12700"/>
              <wp:wrapNone/>
              <wp:docPr id="1944522973" name="Straight Connector 3"/>
              <wp:cNvGraphicFramePr/>
              <a:graphic xmlns:a="http://schemas.openxmlformats.org/drawingml/2006/main">
                <a:graphicData uri="http://schemas.microsoft.com/office/word/2010/wordprocessingShape">
                  <wps:wsp>
                    <wps:cNvCnPr/>
                    <wps:spPr>
                      <a:xfrm>
                        <a:off x="0" y="0"/>
                        <a:ext cx="5955527" cy="0"/>
                      </a:xfrm>
                      <a:prstGeom prst="line">
                        <a:avLst/>
                      </a:prstGeom>
                      <a:ln>
                        <a:solidFill>
                          <a:srgbClr val="F566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0D6D6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7.9pt" to="468.3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" strokecolor="#f56600" strokeweight="1.5pt">
              <v:stroke joinstyle="miter"/>
            </v:line>
          </w:pict>
        </mc:Fallback>
      </mc:AlternateContent>
    </w:r>
    <w:r>
      <w:rPr>
        <w:rFonts w:ascii="Trade Gothic Next LT Pro Cn" w:hAnsi="Trade Gothic Next LT Pro Cn"/>
        <w:color w:val="3A3A3A" w:themeColor="background2" w:themeShade="40"/>
        <w:sz w:val="21"/>
        <w:szCs w:val="21"/>
      </w:rPr>
      <w:tab/>
    </w:r>
    <w:r>
      <w:rPr>
        <w:rFonts w:ascii="Trade Gothic Next LT Pro Cn" w:hAnsi="Trade Gothic Next LT Pro Cn"/>
        <w:color w:val="3A3A3A" w:themeColor="background2" w:themeShade="40"/>
        <w:sz w:val="21"/>
        <w:szCs w:val="21"/>
      </w:rPr>
      <w:tab/>
      <w:t>May 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2168" w14:textId="77777777" w:rsidR="003062A7" w:rsidRDefault="003062A7" w:rsidP="00981F8A">
      <w:pPr>
        <w:spacing w:after="0" w:line="240" w:lineRule="auto"/>
      </w:pPr>
      <w:r>
        <w:separator/>
      </w:r>
    </w:p>
  </w:footnote>
  <w:footnote w:type="continuationSeparator" w:id="0">
    <w:p w14:paraId="0A005EDA" w14:textId="77777777" w:rsidR="003062A7" w:rsidRDefault="003062A7" w:rsidP="0098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574F" w14:textId="1E6D3BFF" w:rsidR="00981F8A" w:rsidRDefault="00981F8A" w:rsidP="00981F8A">
    <w:pPr>
      <w:pStyle w:val="Header"/>
    </w:pPr>
    <w:r>
      <w:tab/>
    </w:r>
    <w:r>
      <w:rPr>
        <w:noProof/>
      </w:rPr>
      <w:drawing>
        <wp:inline distT="0" distB="0" distL="0" distR="0" wp14:anchorId="4D540171" wp14:editId="3A35C0B5">
          <wp:extent cx="1962443" cy="755834"/>
          <wp:effectExtent l="0" t="0" r="0" b="0"/>
          <wp:docPr id="500182308" name="Picture 1" descr="Research Sympos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82308" name="Picture 1" descr="Research Symposium logo"/>
                  <pic:cNvPicPr/>
                </pic:nvPicPr>
                <pic:blipFill>
                  <a:blip r:embed="rId1">
                    <a:extLst>
                      <a:ext uri="{28A0092B-C50C-407E-A947-70E740481C1C}">
                        <a14:useLocalDpi xmlns:a14="http://schemas.microsoft.com/office/drawing/2010/main" val="0"/>
                      </a:ext>
                    </a:extLst>
                  </a:blip>
                  <a:stretch>
                    <a:fillRect/>
                  </a:stretch>
                </pic:blipFill>
                <pic:spPr>
                  <a:xfrm>
                    <a:off x="0" y="0"/>
                    <a:ext cx="1962443" cy="755834"/>
                  </a:xfrm>
                  <a:prstGeom prst="rect">
                    <a:avLst/>
                  </a:prstGeom>
                </pic:spPr>
              </pic:pic>
            </a:graphicData>
          </a:graphic>
        </wp:inline>
      </w:drawing>
    </w:r>
  </w:p>
  <w:p w14:paraId="38EAFF98" w14:textId="2EB58AB5" w:rsidR="00981F8A" w:rsidRPr="00981F8A" w:rsidRDefault="00981F8A" w:rsidP="00981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D0F"/>
    <w:multiLevelType w:val="multilevel"/>
    <w:tmpl w:val="DECA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17226"/>
    <w:multiLevelType w:val="multilevel"/>
    <w:tmpl w:val="D4BC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A7FAD"/>
    <w:multiLevelType w:val="hybridMultilevel"/>
    <w:tmpl w:val="7E68C80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04485D22"/>
    <w:multiLevelType w:val="multilevel"/>
    <w:tmpl w:val="6C42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00239"/>
    <w:multiLevelType w:val="hybridMultilevel"/>
    <w:tmpl w:val="DF10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1284C"/>
    <w:multiLevelType w:val="hybridMultilevel"/>
    <w:tmpl w:val="2A64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A5523"/>
    <w:multiLevelType w:val="hybridMultilevel"/>
    <w:tmpl w:val="BAFCCE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3293DAE"/>
    <w:multiLevelType w:val="hybridMultilevel"/>
    <w:tmpl w:val="E97A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5194F"/>
    <w:multiLevelType w:val="multilevel"/>
    <w:tmpl w:val="42D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E3FE3"/>
    <w:multiLevelType w:val="hybridMultilevel"/>
    <w:tmpl w:val="279A97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AB772D"/>
    <w:multiLevelType w:val="multilevel"/>
    <w:tmpl w:val="94BE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B1B3C"/>
    <w:multiLevelType w:val="hybridMultilevel"/>
    <w:tmpl w:val="1D74353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251965FA"/>
    <w:multiLevelType w:val="multilevel"/>
    <w:tmpl w:val="DCCC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D252F"/>
    <w:multiLevelType w:val="multilevel"/>
    <w:tmpl w:val="8174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5C6C1B"/>
    <w:multiLevelType w:val="multilevel"/>
    <w:tmpl w:val="3E5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962E6"/>
    <w:multiLevelType w:val="hybridMultilevel"/>
    <w:tmpl w:val="DC4E3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B34A96"/>
    <w:multiLevelType w:val="multilevel"/>
    <w:tmpl w:val="2A8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23E73"/>
    <w:multiLevelType w:val="multilevel"/>
    <w:tmpl w:val="116E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30E14"/>
    <w:multiLevelType w:val="hybridMultilevel"/>
    <w:tmpl w:val="7D3A90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8680317"/>
    <w:multiLevelType w:val="multilevel"/>
    <w:tmpl w:val="8CE0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A53EC"/>
    <w:multiLevelType w:val="multilevel"/>
    <w:tmpl w:val="BAF8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2B580E"/>
    <w:multiLevelType w:val="multilevel"/>
    <w:tmpl w:val="99CE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29530B"/>
    <w:multiLevelType w:val="multilevel"/>
    <w:tmpl w:val="09D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0A3527"/>
    <w:multiLevelType w:val="hybridMultilevel"/>
    <w:tmpl w:val="BB7AA87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4" w15:restartNumberingAfterBreak="0">
    <w:nsid w:val="5D43297C"/>
    <w:multiLevelType w:val="hybridMultilevel"/>
    <w:tmpl w:val="89CCFEC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E0B0AAD"/>
    <w:multiLevelType w:val="hybridMultilevel"/>
    <w:tmpl w:val="5C467EF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63160759"/>
    <w:multiLevelType w:val="multilevel"/>
    <w:tmpl w:val="42B4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8209CD"/>
    <w:multiLevelType w:val="multilevel"/>
    <w:tmpl w:val="68A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C8273D"/>
    <w:multiLevelType w:val="multilevel"/>
    <w:tmpl w:val="37C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4702A"/>
    <w:multiLevelType w:val="hybridMultilevel"/>
    <w:tmpl w:val="206C54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1DC6177"/>
    <w:multiLevelType w:val="multilevel"/>
    <w:tmpl w:val="DB30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6C15EA"/>
    <w:multiLevelType w:val="multilevel"/>
    <w:tmpl w:val="E670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2E410E"/>
    <w:multiLevelType w:val="hybridMultilevel"/>
    <w:tmpl w:val="3B14F0D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60567F0"/>
    <w:multiLevelType w:val="multilevel"/>
    <w:tmpl w:val="5F22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BB203A"/>
    <w:multiLevelType w:val="multilevel"/>
    <w:tmpl w:val="1538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B50999"/>
    <w:multiLevelType w:val="multilevel"/>
    <w:tmpl w:val="A6FC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5638899">
    <w:abstractNumId w:val="1"/>
  </w:num>
  <w:num w:numId="2" w16cid:durableId="1828325464">
    <w:abstractNumId w:val="12"/>
  </w:num>
  <w:num w:numId="3" w16cid:durableId="837967409">
    <w:abstractNumId w:val="19"/>
  </w:num>
  <w:num w:numId="4" w16cid:durableId="1885480089">
    <w:abstractNumId w:val="16"/>
  </w:num>
  <w:num w:numId="5" w16cid:durableId="836460823">
    <w:abstractNumId w:val="17"/>
  </w:num>
  <w:num w:numId="6" w16cid:durableId="920867276">
    <w:abstractNumId w:val="31"/>
  </w:num>
  <w:num w:numId="7" w16cid:durableId="1912813952">
    <w:abstractNumId w:val="22"/>
  </w:num>
  <w:num w:numId="8" w16cid:durableId="600534641">
    <w:abstractNumId w:val="13"/>
  </w:num>
  <w:num w:numId="9" w16cid:durableId="1409352017">
    <w:abstractNumId w:val="34"/>
  </w:num>
  <w:num w:numId="10" w16cid:durableId="285738074">
    <w:abstractNumId w:val="0"/>
  </w:num>
  <w:num w:numId="11" w16cid:durableId="502161619">
    <w:abstractNumId w:val="3"/>
  </w:num>
  <w:num w:numId="12" w16cid:durableId="979725213">
    <w:abstractNumId w:val="20"/>
  </w:num>
  <w:num w:numId="13" w16cid:durableId="1153331446">
    <w:abstractNumId w:val="26"/>
  </w:num>
  <w:num w:numId="14" w16cid:durableId="43064579">
    <w:abstractNumId w:val="35"/>
  </w:num>
  <w:num w:numId="15" w16cid:durableId="1342780213">
    <w:abstractNumId w:val="10"/>
  </w:num>
  <w:num w:numId="16" w16cid:durableId="2144954907">
    <w:abstractNumId w:val="28"/>
  </w:num>
  <w:num w:numId="17" w16cid:durableId="813252779">
    <w:abstractNumId w:val="14"/>
  </w:num>
  <w:num w:numId="18" w16cid:durableId="1727030636">
    <w:abstractNumId w:val="8"/>
  </w:num>
  <w:num w:numId="19" w16cid:durableId="1089809799">
    <w:abstractNumId w:val="33"/>
  </w:num>
  <w:num w:numId="20" w16cid:durableId="1074550087">
    <w:abstractNumId w:val="27"/>
  </w:num>
  <w:num w:numId="21" w16cid:durableId="1009478846">
    <w:abstractNumId w:val="21"/>
  </w:num>
  <w:num w:numId="22" w16cid:durableId="120728801">
    <w:abstractNumId w:val="30"/>
  </w:num>
  <w:num w:numId="23" w16cid:durableId="54085687">
    <w:abstractNumId w:val="15"/>
  </w:num>
  <w:num w:numId="24" w16cid:durableId="25107017">
    <w:abstractNumId w:val="6"/>
  </w:num>
  <w:num w:numId="25" w16cid:durableId="675226896">
    <w:abstractNumId w:val="9"/>
  </w:num>
  <w:num w:numId="26" w16cid:durableId="712004216">
    <w:abstractNumId w:val="7"/>
  </w:num>
  <w:num w:numId="27" w16cid:durableId="881483064">
    <w:abstractNumId w:val="29"/>
  </w:num>
  <w:num w:numId="28" w16cid:durableId="1438480655">
    <w:abstractNumId w:val="4"/>
  </w:num>
  <w:num w:numId="29" w16cid:durableId="267125428">
    <w:abstractNumId w:val="23"/>
  </w:num>
  <w:num w:numId="30" w16cid:durableId="2052488473">
    <w:abstractNumId w:val="2"/>
  </w:num>
  <w:num w:numId="31" w16cid:durableId="1006711574">
    <w:abstractNumId w:val="5"/>
  </w:num>
  <w:num w:numId="32" w16cid:durableId="785662981">
    <w:abstractNumId w:val="18"/>
  </w:num>
  <w:num w:numId="33" w16cid:durableId="958994900">
    <w:abstractNumId w:val="11"/>
  </w:num>
  <w:num w:numId="34" w16cid:durableId="2014914818">
    <w:abstractNumId w:val="25"/>
  </w:num>
  <w:num w:numId="35" w16cid:durableId="1951818920">
    <w:abstractNumId w:val="24"/>
  </w:num>
  <w:num w:numId="36" w16cid:durableId="11299335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8A"/>
    <w:rsid w:val="000B5335"/>
    <w:rsid w:val="003062A7"/>
    <w:rsid w:val="00430143"/>
    <w:rsid w:val="005C3889"/>
    <w:rsid w:val="008C5814"/>
    <w:rsid w:val="00981F8A"/>
    <w:rsid w:val="00B723FC"/>
    <w:rsid w:val="00C90536"/>
    <w:rsid w:val="00D25599"/>
    <w:rsid w:val="00D81980"/>
    <w:rsid w:val="00E5573E"/>
    <w:rsid w:val="00EF0AA9"/>
    <w:rsid w:val="00F6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6FA9"/>
  <w15:chartTrackingRefBased/>
  <w15:docId w15:val="{DDA95301-037E-4B4C-8C80-54D25E7E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oster Title"/>
    <w:basedOn w:val="Normal"/>
    <w:next w:val="Normal"/>
    <w:link w:val="Heading1Char"/>
    <w:uiPriority w:val="9"/>
    <w:qFormat/>
    <w:rsid w:val="00D25599"/>
    <w:pPr>
      <w:keepNext/>
      <w:keepLines/>
      <w:spacing w:before="360" w:after="80"/>
      <w:outlineLvl w:val="0"/>
    </w:pPr>
    <w:rPr>
      <w:rFonts w:ascii="Trade Gothic Next LT Pro Cn" w:eastAsiaTheme="majorEastAsia" w:hAnsi="Trade Gothic Next LT Pro Cn" w:cstheme="majorBidi"/>
      <w:b/>
      <w:color w:val="000000" w:themeColor="text1"/>
      <w:sz w:val="32"/>
      <w:szCs w:val="40"/>
    </w:rPr>
  </w:style>
  <w:style w:type="paragraph" w:styleId="Heading2">
    <w:name w:val="heading 2"/>
    <w:basedOn w:val="Normal"/>
    <w:next w:val="Normal"/>
    <w:link w:val="Heading2Char"/>
    <w:uiPriority w:val="9"/>
    <w:semiHidden/>
    <w:unhideWhenUsed/>
    <w:qFormat/>
    <w:rsid w:val="00981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1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ster Title Char"/>
    <w:basedOn w:val="DefaultParagraphFont"/>
    <w:link w:val="Heading1"/>
    <w:uiPriority w:val="9"/>
    <w:rsid w:val="00D25599"/>
    <w:rPr>
      <w:rFonts w:ascii="Trade Gothic Next LT Pro Cn" w:eastAsiaTheme="majorEastAsia" w:hAnsi="Trade Gothic Next LT Pro Cn" w:cstheme="majorBidi"/>
      <w:b/>
      <w:color w:val="000000" w:themeColor="text1"/>
      <w:sz w:val="32"/>
      <w:szCs w:val="40"/>
    </w:rPr>
  </w:style>
  <w:style w:type="character" w:customStyle="1" w:styleId="Heading2Char">
    <w:name w:val="Heading 2 Char"/>
    <w:basedOn w:val="DefaultParagraphFont"/>
    <w:link w:val="Heading2"/>
    <w:uiPriority w:val="9"/>
    <w:semiHidden/>
    <w:rsid w:val="00981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1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F8A"/>
    <w:rPr>
      <w:rFonts w:eastAsiaTheme="majorEastAsia" w:cstheme="majorBidi"/>
      <w:color w:val="272727" w:themeColor="text1" w:themeTint="D8"/>
    </w:rPr>
  </w:style>
  <w:style w:type="paragraph" w:styleId="Title">
    <w:name w:val="Title"/>
    <w:basedOn w:val="Normal"/>
    <w:next w:val="Normal"/>
    <w:link w:val="TitleChar"/>
    <w:uiPriority w:val="10"/>
    <w:qFormat/>
    <w:rsid w:val="0098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F8A"/>
    <w:pPr>
      <w:spacing w:before="160"/>
      <w:jc w:val="center"/>
    </w:pPr>
    <w:rPr>
      <w:i/>
      <w:iCs/>
      <w:color w:val="404040" w:themeColor="text1" w:themeTint="BF"/>
    </w:rPr>
  </w:style>
  <w:style w:type="character" w:customStyle="1" w:styleId="QuoteChar">
    <w:name w:val="Quote Char"/>
    <w:basedOn w:val="DefaultParagraphFont"/>
    <w:link w:val="Quote"/>
    <w:uiPriority w:val="29"/>
    <w:rsid w:val="00981F8A"/>
    <w:rPr>
      <w:i/>
      <w:iCs/>
      <w:color w:val="404040" w:themeColor="text1" w:themeTint="BF"/>
    </w:rPr>
  </w:style>
  <w:style w:type="paragraph" w:styleId="ListParagraph">
    <w:name w:val="List Paragraph"/>
    <w:basedOn w:val="Normal"/>
    <w:uiPriority w:val="34"/>
    <w:qFormat/>
    <w:rsid w:val="00981F8A"/>
    <w:pPr>
      <w:ind w:left="720"/>
      <w:contextualSpacing/>
    </w:pPr>
  </w:style>
  <w:style w:type="character" w:styleId="IntenseEmphasis">
    <w:name w:val="Intense Emphasis"/>
    <w:basedOn w:val="DefaultParagraphFont"/>
    <w:uiPriority w:val="21"/>
    <w:qFormat/>
    <w:rsid w:val="00981F8A"/>
    <w:rPr>
      <w:i/>
      <w:iCs/>
      <w:color w:val="0F4761" w:themeColor="accent1" w:themeShade="BF"/>
    </w:rPr>
  </w:style>
  <w:style w:type="paragraph" w:styleId="IntenseQuote">
    <w:name w:val="Intense Quote"/>
    <w:basedOn w:val="Normal"/>
    <w:next w:val="Normal"/>
    <w:link w:val="IntenseQuoteChar"/>
    <w:uiPriority w:val="30"/>
    <w:qFormat/>
    <w:rsid w:val="00981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F8A"/>
    <w:rPr>
      <w:i/>
      <w:iCs/>
      <w:color w:val="0F4761" w:themeColor="accent1" w:themeShade="BF"/>
    </w:rPr>
  </w:style>
  <w:style w:type="character" w:styleId="IntenseReference">
    <w:name w:val="Intense Reference"/>
    <w:basedOn w:val="DefaultParagraphFont"/>
    <w:uiPriority w:val="32"/>
    <w:qFormat/>
    <w:rsid w:val="00981F8A"/>
    <w:rPr>
      <w:b/>
      <w:bCs/>
      <w:smallCaps/>
      <w:color w:val="0F4761" w:themeColor="accent1" w:themeShade="BF"/>
      <w:spacing w:val="5"/>
    </w:rPr>
  </w:style>
  <w:style w:type="paragraph" w:styleId="Header">
    <w:name w:val="header"/>
    <w:basedOn w:val="Normal"/>
    <w:link w:val="HeaderChar"/>
    <w:uiPriority w:val="99"/>
    <w:unhideWhenUsed/>
    <w:rsid w:val="00981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F8A"/>
  </w:style>
  <w:style w:type="paragraph" w:styleId="Footer">
    <w:name w:val="footer"/>
    <w:basedOn w:val="Normal"/>
    <w:link w:val="FooterChar"/>
    <w:uiPriority w:val="99"/>
    <w:unhideWhenUsed/>
    <w:rsid w:val="00981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F8A"/>
  </w:style>
  <w:style w:type="paragraph" w:styleId="NormalWeb">
    <w:name w:val="Normal (Web)"/>
    <w:basedOn w:val="Normal"/>
    <w:uiPriority w:val="99"/>
    <w:semiHidden/>
    <w:unhideWhenUsed/>
    <w:rsid w:val="00981F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81F8A"/>
    <w:rPr>
      <w:b/>
      <w:bCs/>
    </w:rPr>
  </w:style>
  <w:style w:type="paragraph" w:customStyle="1" w:styleId="ewa-rteline">
    <w:name w:val="ewa-rteline"/>
    <w:basedOn w:val="Normal"/>
    <w:rsid w:val="00981F8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81F8A"/>
  </w:style>
  <w:style w:type="paragraph" w:styleId="NoSpacing">
    <w:name w:val="No Spacing"/>
    <w:uiPriority w:val="1"/>
    <w:qFormat/>
    <w:rsid w:val="00981F8A"/>
    <w:pPr>
      <w:spacing w:after="0" w:line="240" w:lineRule="auto"/>
    </w:pPr>
  </w:style>
  <w:style w:type="paragraph" w:customStyle="1" w:styleId="AuthorNames">
    <w:name w:val="Author Names"/>
    <w:basedOn w:val="NoSpacing"/>
    <w:qFormat/>
    <w:rsid w:val="00D25599"/>
    <w:pPr>
      <w:spacing w:after="120"/>
    </w:pPr>
    <w:rPr>
      <w:rFonts w:ascii="Trade Gothic Next LT Pro Lt" w:hAnsi="Trade Gothic Next LT Pro Lt"/>
    </w:rPr>
  </w:style>
  <w:style w:type="paragraph" w:customStyle="1" w:styleId="DepartmentName">
    <w:name w:val="Department Name"/>
    <w:basedOn w:val="NoSpacing"/>
    <w:qFormat/>
    <w:rsid w:val="00D25599"/>
    <w:pPr>
      <w:spacing w:after="120"/>
    </w:pPr>
    <w:rPr>
      <w:rFonts w:ascii="Trade Gothic Next LT Pro Cn" w:hAnsi="Trade Gothic Next LT Pro Cn"/>
    </w:rPr>
  </w:style>
  <w:style w:type="paragraph" w:customStyle="1" w:styleId="Paragraph">
    <w:name w:val="Paragraph"/>
    <w:basedOn w:val="NoSpacing"/>
    <w:qFormat/>
    <w:rsid w:val="00D25599"/>
    <w:pPr>
      <w:spacing w:after="120"/>
    </w:pPr>
    <w:rPr>
      <w:rFonts w:ascii="Trade Gothic Next LT Pro" w:hAnsi="Trade Gothic Next LT Pro"/>
    </w:rPr>
  </w:style>
  <w:style w:type="character" w:styleId="PageNumber">
    <w:name w:val="page number"/>
    <w:basedOn w:val="DefaultParagraphFont"/>
    <w:uiPriority w:val="99"/>
    <w:semiHidden/>
    <w:unhideWhenUsed/>
    <w:rsid w:val="00E5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3130</Words>
  <Characters>18222</Characters>
  <Application>Microsoft Office Word</Application>
  <DocSecurity>0</DocSecurity>
  <Lines>298</Lines>
  <Paragraphs>69</Paragraphs>
  <ScaleCrop>false</ScaleCrop>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 Miller</dc:creator>
  <cp:keywords/>
  <dc:description/>
  <cp:lastModifiedBy>Scott R Miller</cp:lastModifiedBy>
  <cp:revision>8</cp:revision>
  <dcterms:created xsi:type="dcterms:W3CDTF">2026-04-29T19:18:00Z</dcterms:created>
  <dcterms:modified xsi:type="dcterms:W3CDTF">2026-05-05T15:57:00Z</dcterms:modified>
</cp:coreProperties>
</file>